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长堽校区智慧教室（二期）改造装修项目工程量清单</w:t>
      </w:r>
    </w:p>
    <w:tbl>
      <w:tblPr>
        <w:tblStyle w:val="2"/>
        <w:tblW w:w="1482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670"/>
        <w:gridCol w:w="1240"/>
        <w:gridCol w:w="866"/>
        <w:gridCol w:w="1242"/>
        <w:gridCol w:w="1194"/>
        <w:gridCol w:w="6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特征及描述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方通吊顶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主、副龙骨为轻钢龙骨，专用配件，成品铝方通安装50*65，间隔为100mm。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二级边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主、副龙骨为轻钢龙骨，专用配件，面封9厘板，1０mm厚石膏板饰面；刮腻子2遍并打磨；多乐士油漆两遍；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教室地脚线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12cm*80cm地脚线，材质：大理石或抛光砖，颜色与教室整体风格相搭，含打墙、铺砖及地角线瓷砖、辅料材料和人工、垃圾外运等。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教室墙面刮腻子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1、标准配置为多乐士金装五合一墙漆，底漆一道，面漆2道。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2、墙面基层处理，局部腻子找平，破裂和开裂等情况用腻子粉进行修复，修阴阳角，打磨，滚涂两遍。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教室地面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1、地面做自流平；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2、基层作防潮处理；地面采用 PVC2.0 塑胶地板；地面平整，方便清洁，有耐磨涂层、防火涂层，有效降低走动时的噪声及明火产生。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教室顶面及消防管喷漆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1、原教室顶面修复，清除消防管道老旧漆面。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2、教室顶面及消防管道刷黑色漆。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教室灯具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光源类型：LED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控制方式：普通开关控制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材质：亚克力，铝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色温：冷光（5000K以上）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照明功率：24w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电压(V)：220V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灯罩形状：70*1200mm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要求：由承包人采购灯具并负责接线安装。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教室窗帘制作安装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现场定制，窗帘选用厚重、布面顺滑不易勾纱的加黑丝窗帘布料，遮光率≥85%以上；现场制作窗帘盒（9.8米）、窗套，工板做底，木线窗套，刷清漆保护，包工包料。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线路改造安装</w:t>
            </w:r>
            <w:bookmarkStart w:id="0" w:name="_GoBack"/>
            <w:bookmarkEnd w:id="0"/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线路改造线材及安装要求：</w:t>
            </w:r>
          </w:p>
          <w:tbl>
            <w:tblPr>
              <w:tblStyle w:val="3"/>
              <w:tblW w:w="67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3"/>
              <w:gridCol w:w="1080"/>
              <w:gridCol w:w="36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电路改造用材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363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安装要求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6㎡铜芯线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50m</w:t>
                  </w:r>
                </w:p>
              </w:tc>
              <w:tc>
                <w:tcPr>
                  <w:tcW w:w="3632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含教室led灯具、空开箱、开关、插座等电源线路改造、电气设备配件接线、弱电线路布线等线路改造安装施工，所有线材外面套pvc套管暗埋安装，包工包料。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4㎡铜芯线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20m</w:t>
                  </w:r>
                </w:p>
              </w:tc>
              <w:tc>
                <w:tcPr>
                  <w:tcW w:w="3632" w:type="dxa"/>
                  <w:vMerge w:val="continue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2.5㎡铜芯线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110m</w:t>
                  </w:r>
                </w:p>
              </w:tc>
              <w:tc>
                <w:tcPr>
                  <w:tcW w:w="3632" w:type="dxa"/>
                  <w:vMerge w:val="continue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开关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3个</w:t>
                  </w:r>
                </w:p>
              </w:tc>
              <w:tc>
                <w:tcPr>
                  <w:tcW w:w="3632" w:type="dxa"/>
                  <w:vMerge w:val="continue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5孔插座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6个</w:t>
                  </w:r>
                </w:p>
              </w:tc>
              <w:tc>
                <w:tcPr>
                  <w:tcW w:w="3632" w:type="dxa"/>
                  <w:vMerge w:val="continue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17位空开箱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1个</w:t>
                  </w:r>
                </w:p>
              </w:tc>
              <w:tc>
                <w:tcPr>
                  <w:tcW w:w="3632" w:type="dxa"/>
                  <w:vMerge w:val="continue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3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空开3P63A</w:t>
                  </w:r>
                </w:p>
              </w:tc>
              <w:tc>
                <w:tcPr>
                  <w:tcW w:w="10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2个</w:t>
                  </w:r>
                </w:p>
              </w:tc>
              <w:tc>
                <w:tcPr>
                  <w:tcW w:w="3632" w:type="dxa"/>
                  <w:vMerge w:val="continue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55A68"/>
    <w:rsid w:val="131C0CEA"/>
    <w:rsid w:val="13A55DEA"/>
    <w:rsid w:val="2A055A68"/>
    <w:rsid w:val="46475E01"/>
    <w:rsid w:val="4B127C4C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2021-11-03T15:29:00Z</dcterms:created>
  <dc:creator>[资产-收发秘书]李泳</dc:creator>
  <cp:lastModifiedBy>[资产-收发秘书]李泳</cp:lastModifiedBy>
  <dcterms:modified xsi:type="dcterms:W3CDTF">2021-11-03T15:32:02Z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1F22269C9B71405DADC0D45944FAE5FC</vt:lpwstr>
  </property>
</Properties>
</file>