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建筑装饰工程计量与计价</w:t>
      </w:r>
    </w:p>
    <w:p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一、报价清单</w:t>
      </w:r>
    </w:p>
    <w:tbl>
      <w:tblPr>
        <w:tblStyle w:val="11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509"/>
        <w:gridCol w:w="1997"/>
        <w:gridCol w:w="963"/>
        <w:gridCol w:w="700"/>
        <w:gridCol w:w="1013"/>
        <w:gridCol w:w="11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单价/元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总价/元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default"/>
                <w:lang w:val="en-US" w:eastAsia="zh-CN" w:bidi="ar"/>
              </w:rPr>
            </w:pPr>
            <w:r>
              <w:rPr>
                <w:rStyle w:val="18"/>
                <w:rFonts w:hint="eastAsia"/>
                <w:lang w:val="en-US" w:eastAsia="zh-CN" w:bidi="ar"/>
              </w:rPr>
              <w:t>视频时长不少于20分钟，拍摄制作关应该根据制作要求，提供脚及场设设计方案，并提供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虚拟仿真系统试用，满足课程资源制作要求。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 w:bidi="ar"/>
              </w:rPr>
              <w:t>个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21000</w:t>
            </w:r>
          </w:p>
        </w:tc>
      </w:tr>
    </w:tbl>
    <w:p>
      <w:pPr>
        <w:pStyle w:val="5"/>
        <w:numPr>
          <w:ilvl w:val="0"/>
          <w:numId w:val="1"/>
        </w:numPr>
        <w:bidi w:val="0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课程明细</w:t>
      </w:r>
    </w:p>
    <w:tbl>
      <w:tblPr>
        <w:tblStyle w:val="12"/>
        <w:tblW w:w="8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721"/>
        <w:gridCol w:w="5214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69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6935" w:type="dxa"/>
            <w:gridSpan w:val="2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模块</w:t>
            </w:r>
          </w:p>
        </w:tc>
        <w:tc>
          <w:tcPr>
            <w:tcW w:w="1240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视频/个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21" w:type="dxa"/>
            <w:vMerge w:val="restart"/>
          </w:tcPr>
          <w:p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建筑装饰工程计量与计价基础知识</w:t>
            </w:r>
          </w:p>
        </w:tc>
        <w:tc>
          <w:tcPr>
            <w:tcW w:w="5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建筑装饰工程概述</w:t>
            </w:r>
          </w:p>
        </w:tc>
        <w:tc>
          <w:tcPr>
            <w:tcW w:w="124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21" w:type="dxa"/>
            <w:vMerge w:val="continue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工程造价的含义及构成</w:t>
            </w:r>
          </w:p>
        </w:tc>
        <w:tc>
          <w:tcPr>
            <w:tcW w:w="124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21" w:type="dxa"/>
            <w:vMerge w:val="continue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建筑装饰工程费用</w:t>
            </w:r>
          </w:p>
        </w:tc>
        <w:tc>
          <w:tcPr>
            <w:tcW w:w="124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21" w:type="dxa"/>
            <w:vMerge w:val="continue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建筑装饰工程计价依据</w:t>
            </w:r>
          </w:p>
        </w:tc>
        <w:tc>
          <w:tcPr>
            <w:tcW w:w="124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21" w:type="dxa"/>
            <w:vMerge w:val="continue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定额原理-（《广西壮族自治区建筑装饰装修工程消耗量定额》2013组成、换算、应用）</w:t>
            </w:r>
          </w:p>
        </w:tc>
        <w:tc>
          <w:tcPr>
            <w:tcW w:w="124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21" w:type="dxa"/>
            <w:vMerge w:val="continue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工程量清单计价方法</w:t>
            </w:r>
          </w:p>
        </w:tc>
        <w:tc>
          <w:tcPr>
            <w:tcW w:w="124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721" w:type="dxa"/>
            <w:vMerge w:val="restart"/>
            <w:vAlign w:val="top"/>
          </w:tcPr>
          <w:p>
            <w:pPr>
              <w:bidi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建筑面积的计算</w:t>
            </w:r>
          </w:p>
        </w:tc>
        <w:tc>
          <w:tcPr>
            <w:tcW w:w="5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建筑面积计算概述</w:t>
            </w:r>
          </w:p>
        </w:tc>
        <w:tc>
          <w:tcPr>
            <w:tcW w:w="124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721" w:type="dxa"/>
            <w:vMerge w:val="continue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建筑面积计算规则（GB T50353-2013/广西壮族自治区建筑装饰装修工程消耗量定额-2013-建筑面积计算规则）</w:t>
            </w:r>
          </w:p>
        </w:tc>
        <w:tc>
          <w:tcPr>
            <w:tcW w:w="124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721" w:type="dxa"/>
            <w:vMerge w:val="continue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建筑面积计算案例应用</w:t>
            </w:r>
          </w:p>
        </w:tc>
        <w:tc>
          <w:tcPr>
            <w:tcW w:w="124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72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装饰工程量计算规则概述</w:t>
            </w:r>
          </w:p>
        </w:tc>
        <w:tc>
          <w:tcPr>
            <w:tcW w:w="5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装饰工程清单项目计算规则概述</w:t>
            </w:r>
          </w:p>
        </w:tc>
        <w:tc>
          <w:tcPr>
            <w:tcW w:w="124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721" w:type="dxa"/>
            <w:vMerge w:val="restart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分部分项工程量清单编制—楼地面工程</w:t>
            </w:r>
          </w:p>
        </w:tc>
        <w:tc>
          <w:tcPr>
            <w:tcW w:w="5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楼地面工程基础知识</w:t>
            </w:r>
          </w:p>
        </w:tc>
        <w:tc>
          <w:tcPr>
            <w:tcW w:w="124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721" w:type="dxa"/>
            <w:vMerge w:val="continue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整体楼地面及找平层工程量清单编制</w:t>
            </w:r>
          </w:p>
        </w:tc>
        <w:tc>
          <w:tcPr>
            <w:tcW w:w="124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721" w:type="dxa"/>
            <w:vMerge w:val="continue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块料楼地面工程量清单编制</w:t>
            </w:r>
          </w:p>
        </w:tc>
        <w:tc>
          <w:tcPr>
            <w:tcW w:w="124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721" w:type="dxa"/>
            <w:vMerge w:val="continue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踢脚线工程量清单编制</w:t>
            </w:r>
          </w:p>
        </w:tc>
        <w:tc>
          <w:tcPr>
            <w:tcW w:w="124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721" w:type="dxa"/>
            <w:vMerge w:val="continue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其他材料面层工程-木（复合)地板工程量清单编制</w:t>
            </w:r>
          </w:p>
        </w:tc>
        <w:tc>
          <w:tcPr>
            <w:tcW w:w="124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721" w:type="dxa"/>
            <w:vMerge w:val="restart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分部分项工程量清单编制—墙、柱面装修工程</w:t>
            </w:r>
          </w:p>
        </w:tc>
        <w:tc>
          <w:tcPr>
            <w:tcW w:w="5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墙、柱面装修工程基础知识</w:t>
            </w:r>
          </w:p>
        </w:tc>
        <w:tc>
          <w:tcPr>
            <w:tcW w:w="124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721" w:type="dxa"/>
            <w:vMerge w:val="continue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墙面抹灰工程量清单编制</w:t>
            </w:r>
          </w:p>
        </w:tc>
        <w:tc>
          <w:tcPr>
            <w:tcW w:w="124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721" w:type="dxa"/>
            <w:vMerge w:val="continue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镶贴零星块料工程量清单编制</w:t>
            </w:r>
          </w:p>
        </w:tc>
        <w:tc>
          <w:tcPr>
            <w:tcW w:w="124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721" w:type="dxa"/>
            <w:vMerge w:val="continue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柱面抹灰工程量清单编制</w:t>
            </w:r>
          </w:p>
        </w:tc>
        <w:tc>
          <w:tcPr>
            <w:tcW w:w="124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721" w:type="dxa"/>
            <w:vMerge w:val="restart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分部分项工程量清单编制—天棚工程</w:t>
            </w:r>
          </w:p>
        </w:tc>
        <w:tc>
          <w:tcPr>
            <w:tcW w:w="5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天棚工程基础知识</w:t>
            </w:r>
          </w:p>
        </w:tc>
        <w:tc>
          <w:tcPr>
            <w:tcW w:w="124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721" w:type="dxa"/>
            <w:vMerge w:val="continue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天棚抹灰工程量清单编制</w:t>
            </w:r>
          </w:p>
        </w:tc>
        <w:tc>
          <w:tcPr>
            <w:tcW w:w="124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721" w:type="dxa"/>
            <w:vMerge w:val="continue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天棚吊顶工程量清单编制</w:t>
            </w:r>
          </w:p>
        </w:tc>
        <w:tc>
          <w:tcPr>
            <w:tcW w:w="124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721" w:type="dxa"/>
            <w:vMerge w:val="restart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分部分项工程量清单编制—油漆、涂料、裱糊工程</w:t>
            </w:r>
          </w:p>
        </w:tc>
        <w:tc>
          <w:tcPr>
            <w:tcW w:w="5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油漆、涂料、裱糊工程基础知识</w:t>
            </w:r>
          </w:p>
        </w:tc>
        <w:tc>
          <w:tcPr>
            <w:tcW w:w="124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9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721" w:type="dxa"/>
            <w:vMerge w:val="continue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油漆工程（门、窗等）量清单编制</w:t>
            </w:r>
          </w:p>
        </w:tc>
        <w:tc>
          <w:tcPr>
            <w:tcW w:w="124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721" w:type="dxa"/>
            <w:vMerge w:val="continue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裱糊工程量清单编制</w:t>
            </w:r>
          </w:p>
        </w:tc>
        <w:tc>
          <w:tcPr>
            <w:tcW w:w="124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721" w:type="dxa"/>
            <w:vMerge w:val="restart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措施及其他项目清单编制—措施项目 清单计价</w:t>
            </w:r>
          </w:p>
        </w:tc>
        <w:tc>
          <w:tcPr>
            <w:tcW w:w="5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单价措施费计算（脚手架、模板）</w:t>
            </w:r>
          </w:p>
        </w:tc>
        <w:tc>
          <w:tcPr>
            <w:tcW w:w="124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721" w:type="dxa"/>
            <w:vMerge w:val="continue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总价措施费计算</w:t>
            </w:r>
          </w:p>
        </w:tc>
        <w:tc>
          <w:tcPr>
            <w:tcW w:w="124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721" w:type="dxa"/>
            <w:vMerge w:val="restart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措施及其他项目清单编制—其他项目 清单计价</w:t>
            </w:r>
          </w:p>
        </w:tc>
        <w:tc>
          <w:tcPr>
            <w:tcW w:w="5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暂列金额计算</w:t>
            </w:r>
          </w:p>
        </w:tc>
        <w:tc>
          <w:tcPr>
            <w:tcW w:w="124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721" w:type="dxa"/>
            <w:vMerge w:val="continue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暂估价计算（材料、专业工程）</w:t>
            </w:r>
          </w:p>
        </w:tc>
        <w:tc>
          <w:tcPr>
            <w:tcW w:w="124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措施及其他项目清单编制—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规费及税金项目清单计价</w:t>
            </w:r>
          </w:p>
        </w:tc>
        <w:tc>
          <w:tcPr>
            <w:tcW w:w="5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规费、增值税计算</w:t>
            </w:r>
          </w:p>
        </w:tc>
        <w:tc>
          <w:tcPr>
            <w:tcW w:w="124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5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0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</w:tr>
    </w:tbl>
    <w:p>
      <w:pPr>
        <w:pStyle w:val="5"/>
        <w:bidi w:val="0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三、技术参数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594"/>
        <w:gridCol w:w="7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视频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视频内容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★1.确定中标供应商后3日内，根据课程内容，设计拍摄场、编写对应该的视频脚本、二维/三维动画脚本以及课程对应的视图资源。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屏幕图像的构图合理，画面主体突出。人像及肢体动作以及配合讲授选用的板书、画板、教具实物、模型和实验设备等均不能超出镜头所及范围。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授课视频的背景可采用彩色喷绘、电脑虚拟或现场实景等背景。背景的颜色、图案不易过多，应保持静态，画面应简洁、明快，有利于营造学习气氛。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摄像镜头应保持与主讲教师目光平视的角度。主讲教师不应较长时间仰视或俯视。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使用资料、图片、外景实拍、实验和表演等形象化教学手段，应符合教学内容要求，与讲授内容联系紧密，手段选用恰当。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选用影视作品或自拍素材，应注明素材来源。影视作品或自拍素材中涉及人物访谈内容时，应加注人物介绍。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选用的资料、图片等素材画面应清楚，对于历史资料、图片应进行再加工。选用的资料、图片等素材应注明素材来源及原始信息（如字画的作品、生卒年月，影视片断的作品名称、创作年代等信息）。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动画的设计与使用，要与课程内容相贴切，能够发挥良好的教学效果。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动画的实现须流畅、合理、图像清晰，具有较强的可视性。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视频技术规格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视频信号源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稳定性：全片图像同步性能稳定，无失步现象，图像无抖动跳跃，色彩无突变，编辑点处图像稳定。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色调：白平衡正确，无明显偏色，多机拍摄的镜头衔接处无明显色差。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画幅：建议采用 16:9，720p 或 1080p。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音频信号源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声道：教师讲授内容音频信号记录于第1声道，音乐、音效、同期声记录于第2声道，若有其他文字解说记录于第3声道(如录音设备无第3声道,则录于第2声道)。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声音和画面要求同步，无交流声或其他杂音等缺陷。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伴音清晰、饱满、圆润，无失真、噪声杂音干扰、音量忽大忽小现象。解说声与现场声无明显比例失调，解说声与背景音乐无明显比例失调。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视频压缩格式及技术参数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视频压缩采用 H.264/AVC (MPEG-4 Part10)编码、使用二次编码、不包含字幕的MP4 格式。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视频码流率：动态码流的最低码率不得低于1024Kb。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视频分辨率:前期采用高清16:9拍摄，请设定为1280×720或1920×1080。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视频画幅宽高比:视频画幅宽高比为16:9，分辨率设定为1280×720或1920×1080。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视频帧率为25帧/秒。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扫描方式采用逐行扫描。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音频压缩格式及技术参数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音频压缩采用AAC(MPEG4 Part3)格式。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采样率48KHz。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音频码流率128Kbps(恒定)。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必须是双声道，必须做混音处理。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封装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视频采用MP4封装，单个视频文件小于200MB。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字幕文件采用SRT格式，中英文字幕需分成两个SRT文件。</w:t>
            </w:r>
          </w:p>
          <w:p>
            <w:pPr>
              <w:pStyle w:val="2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★三、为满足课程需要，供应商需提供建筑装饰工程技术施工虚拟仿真系统试用，服务于课程学习与资源制作（50个节点，试用3个月）</w:t>
            </w:r>
          </w:p>
          <w:p>
            <w:pPr>
              <w:pStyle w:val="2"/>
              <w:ind w:left="0" w:leftChars="0"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（一）整体功能</w:t>
            </w:r>
          </w:p>
          <w:p>
            <w:pPr>
              <w:pStyle w:val="2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系统包含弹线放样工程施工、水电暖工程施工、顶面工程施工、墙面工程施工、地面工程施工、卫生间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工程施工、厨房工程施工、其他工程施工模块。</w:t>
            </w:r>
          </w:p>
          <w:p>
            <w:pPr>
              <w:pStyle w:val="2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（二）技术要求</w:t>
            </w:r>
          </w:p>
          <w:p>
            <w:pPr>
              <w:pStyle w:val="2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1、实训系统以 “建筑装饰设计与施工流程”为依托，以“弹线放样工程施工、水电暖工程施工、顶面工程施工、墙面工程施工、地面工程施工、卫生间工程施工、厨房工程施工、其他工程施工”八大模块为核心技术要点，采用虚拟仿真unity3D技术，构建三维仿真环境场景，模拟八大模块的施工工艺，使学生在模拟交互中掌握施工工艺的技术要点。</w:t>
            </w:r>
          </w:p>
          <w:p>
            <w:pPr>
              <w:pStyle w:val="2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2、系统能够通过PC端键盘与鼠标，实现建筑装饰施工技术的虚拟体验交互。学生在系统中可以选择一个真实的建筑装饰工程实例。</w:t>
            </w:r>
          </w:p>
          <w:p>
            <w:pPr>
              <w:pStyle w:val="2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3、系统可提供施工图纸、施工规范、教学案例等学习内容，学习内容覆盖专业核心课的全部施工流程。</w:t>
            </w:r>
          </w:p>
          <w:p>
            <w:pPr>
              <w:pStyle w:val="2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4、使用者通过键盘和鼠标，随意在场景内自由漫游。</w:t>
            </w:r>
          </w:p>
          <w:p>
            <w:pPr>
              <w:pStyle w:val="2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5、系统软件设有快捷键，执行任务时配合快捷键的使用，使体验感更加的流畅</w:t>
            </w:r>
          </w:p>
          <w:p>
            <w:pPr>
              <w:pStyle w:val="2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6、系统软件支持任务栏操作：</w:t>
            </w:r>
          </w:p>
          <w:p>
            <w:pPr>
              <w:pStyle w:val="2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具备详细的操作说明，指引学生学习和实操；支持大步骤和小步骤的来回跳转，可无限重复学习自己想要学习的施工步骤。</w:t>
            </w:r>
          </w:p>
          <w:p>
            <w:pPr>
              <w:pStyle w:val="2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7、系统软件支持图纸栏选择：</w:t>
            </w:r>
          </w:p>
          <w:p>
            <w:pPr>
              <w:pStyle w:val="2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图纸兰功能分为图纸栏和图集栏，图纸栏为当前任务所需要的图纸，方便查看。图集栏为整个程序里包含的所有图纸，让学生有个整体的把控</w:t>
            </w:r>
          </w:p>
          <w:p>
            <w:pPr>
              <w:pStyle w:val="2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8、互动实训：使用者能在系统内按照施工流程，根据提示框和任务栏里的任务说明进行操作，针对具体工序，通过点击拖拽等操作，在三维室内环境中与各种施工工具和施工耗材进行互动操作，完成实训项目；</w:t>
            </w:r>
          </w:p>
          <w:p>
            <w:pPr>
              <w:pStyle w:val="2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9、系统需包含的实训项目</w:t>
            </w:r>
          </w:p>
          <w:p>
            <w:pPr>
              <w:pStyle w:val="2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▲（1）弹线放样工程施工需包含主控线弹线放样、隐蔽工程弹线放样、关键点弹线放样。</w:t>
            </w:r>
          </w:p>
          <w:p>
            <w:pPr>
              <w:pStyle w:val="2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▲（2）水电暖工程施工需包含水地暖管铺设、墙面线槽开槽、配管穿线安装。</w:t>
            </w:r>
          </w:p>
          <w:p>
            <w:pPr>
              <w:pStyle w:val="2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▲（3）顶面工程施工需包含纸面石膏板平顶装饰、叠级吊顶+空调出风口、反光灯槽+窗帘盒、叠级+石膏线吊顶装饰。</w:t>
            </w:r>
          </w:p>
          <w:p>
            <w:pPr>
              <w:pStyle w:val="2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（4）墙面工程施工需包含乳胶漆饰面装饰、石材干挂饰面装饰、壁纸饰面装饰、壁纸与木饰面衔接装饰。</w:t>
            </w:r>
          </w:p>
          <w:p>
            <w:pPr>
              <w:pStyle w:val="2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▲（5）地面工程施工需包含防水工程施工、瓷砖地面施工、木地板地面施工。</w:t>
            </w:r>
          </w:p>
          <w:p>
            <w:pPr>
              <w:pStyle w:val="2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▲（6）卫生间工程施工需包含墙面瓷砖铺贴施工、地面瓷砖铺贴施工、铝扣板顶面施工、安装工程施工。</w:t>
            </w:r>
          </w:p>
          <w:p>
            <w:pPr>
              <w:pStyle w:val="2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（7）厨房工程施工需包含墙面瓷砖铺贴施工、地面瓷砖铺贴施工、铝扣板顶面施工、安装工程施工。</w:t>
            </w:r>
          </w:p>
          <w:p>
            <w:pPr>
              <w:pStyle w:val="2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（8）其他工程施工需包含木门窗套安装、固定家具安装、开关面板灯具照明安转、软装成果展示。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,Bold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43937"/>
    <w:multiLevelType w:val="singleLevel"/>
    <w:tmpl w:val="FE443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iNDIzY2ZjZDIwODU1ZjJhODM1YTRhZDY2YjZkNTgifQ=="/>
  </w:docVars>
  <w:rsids>
    <w:rsidRoot w:val="00000000"/>
    <w:rsid w:val="02285E9D"/>
    <w:rsid w:val="02D21DDC"/>
    <w:rsid w:val="079537B1"/>
    <w:rsid w:val="079C59AE"/>
    <w:rsid w:val="0C4158E6"/>
    <w:rsid w:val="0D28015E"/>
    <w:rsid w:val="18DA555B"/>
    <w:rsid w:val="1C5A784E"/>
    <w:rsid w:val="20A7530B"/>
    <w:rsid w:val="28AA0305"/>
    <w:rsid w:val="29423C7B"/>
    <w:rsid w:val="294E090B"/>
    <w:rsid w:val="361242B0"/>
    <w:rsid w:val="36ED033F"/>
    <w:rsid w:val="391B2F09"/>
    <w:rsid w:val="3D46184F"/>
    <w:rsid w:val="49FD2A80"/>
    <w:rsid w:val="50E769F7"/>
    <w:rsid w:val="519866AB"/>
    <w:rsid w:val="579B7411"/>
    <w:rsid w:val="59707F6C"/>
    <w:rsid w:val="66BF77A5"/>
    <w:rsid w:val="68EC49D9"/>
    <w:rsid w:val="706A1AFA"/>
    <w:rsid w:val="74567956"/>
    <w:rsid w:val="753D3453"/>
    <w:rsid w:val="7B9E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left"/>
      <w:outlineLvl w:val="0"/>
    </w:pPr>
    <w:rPr>
      <w:rFonts w:eastAsia="宋体" w:asciiTheme="minorAscii" w:hAnsiTheme="minorAscii"/>
      <w:b/>
      <w:kern w:val="44"/>
      <w:sz w:val="32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jc w:val="left"/>
      <w:outlineLvl w:val="1"/>
    </w:pPr>
    <w:rPr>
      <w:rFonts w:ascii="Arial" w:hAnsi="Arial" w:eastAsia="宋体"/>
      <w:b/>
      <w:sz w:val="30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jc w:val="left"/>
      <w:outlineLvl w:val="2"/>
    </w:pPr>
    <w:rPr>
      <w:rFonts w:eastAsia="宋体" w:asciiTheme="minorAscii" w:hAnsiTheme="minorAscii"/>
      <w:b/>
      <w:sz w:val="28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240" w:lineRule="auto"/>
      <w:jc w:val="left"/>
      <w:outlineLvl w:val="3"/>
    </w:pPr>
    <w:rPr>
      <w:rFonts w:ascii="Arial" w:hAnsi="Arial" w:eastAsia="宋体"/>
      <w:b/>
      <w:sz w:val="24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240" w:lineRule="auto"/>
      <w:outlineLvl w:val="4"/>
    </w:pPr>
    <w:rPr>
      <w:rFonts w:eastAsia="宋体" w:asciiTheme="minorAscii" w:hAnsiTheme="minorAscii"/>
      <w:b/>
      <w:sz w:val="24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240" w:lineRule="auto"/>
      <w:outlineLvl w:val="5"/>
    </w:pPr>
    <w:rPr>
      <w:rFonts w:ascii="Arial" w:hAnsi="Arial" w:eastAsia="宋体"/>
      <w:b/>
      <w:sz w:val="2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kern w:val="0"/>
      <w:sz w:val="20"/>
      <w:szCs w:val="20"/>
    </w:rPr>
  </w:style>
  <w:style w:type="paragraph" w:styleId="3">
    <w:name w:val="Body Text 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Block Text"/>
    <w:basedOn w:val="1"/>
    <w:next w:val="7"/>
    <w:qFormat/>
    <w:uiPriority w:val="0"/>
    <w:pPr>
      <w:kinsoku w:val="0"/>
      <w:autoSpaceDE w:val="0"/>
      <w:autoSpaceDN w:val="0"/>
      <w:adjustRightInd w:val="0"/>
      <w:snapToGrid w:val="0"/>
      <w:spacing w:line="500" w:lineRule="exact"/>
      <w:ind w:left="391" w:right="246"/>
      <w:jc w:val="left"/>
      <w:textAlignment w:val="baseline"/>
    </w:pPr>
    <w:rPr>
      <w:rFonts w:ascii="仿宋_GB2312" w:hAnsi="Arial" w:eastAsia="仿宋_GB2312" w:cs="Arial"/>
      <w:snapToGrid w:val="0"/>
      <w:color w:val="000000"/>
      <w:kern w:val="0"/>
      <w:sz w:val="24"/>
      <w:szCs w:val="21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文本"/>
    <w:basedOn w:val="1"/>
    <w:qFormat/>
    <w:uiPriority w:val="0"/>
    <w:pPr>
      <w:spacing w:line="360" w:lineRule="auto"/>
      <w:ind w:firstLine="883" w:firstLineChars="200"/>
      <w:jc w:val="left"/>
    </w:pPr>
    <w:rPr>
      <w:rFonts w:eastAsia="宋体" w:cs="Times New Roman" w:asciiTheme="minorAscii" w:hAnsiTheme="minorAscii"/>
      <w:sz w:val="24"/>
    </w:rPr>
  </w:style>
  <w:style w:type="paragraph" w:customStyle="1" w:styleId="15">
    <w:name w:val="表格文本"/>
    <w:basedOn w:val="1"/>
    <w:qFormat/>
    <w:uiPriority w:val="0"/>
    <w:pPr>
      <w:spacing w:line="360" w:lineRule="auto"/>
      <w:jc w:val="left"/>
    </w:pPr>
    <w:rPr>
      <w:rFonts w:eastAsia="宋体" w:cs="Times New Roman" w:asciiTheme="minorAscii" w:hAnsiTheme="minorAscii"/>
      <w:sz w:val="24"/>
      <w:szCs w:val="21"/>
    </w:rPr>
  </w:style>
  <w:style w:type="character" w:customStyle="1" w:styleId="16">
    <w:name w:val="font11"/>
    <w:basedOn w:val="1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7">
    <w:name w:val="font2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3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9">
    <w:name w:val="表格文"/>
    <w:basedOn w:val="20"/>
    <w:qFormat/>
    <w:uiPriority w:val="0"/>
    <w:rPr>
      <w:rFonts w:eastAsia="宋体"/>
      <w:sz w:val="21"/>
      <w:lang w:eastAsia="zh-CN"/>
    </w:rPr>
  </w:style>
  <w:style w:type="paragraph" w:customStyle="1" w:styleId="20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Arial,Bold" w:hAnsi="Arial,Bold" w:eastAsia="PMingLiU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2861</Words>
  <Characters>3036</Characters>
  <Lines>0</Lines>
  <Paragraphs>0</Paragraphs>
  <TotalTime>1</TotalTime>
  <ScaleCrop>false</ScaleCrop>
  <LinksUpToDate>false</LinksUpToDate>
  <CharactersWithSpaces>3048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2022-03-11T00:33:00Z</dcterms:created>
  <dc:creator>Administrator</dc:creator>
  <cp:lastModifiedBy>陈惠渝</cp:lastModifiedBy>
  <dcterms:modified xsi:type="dcterms:W3CDTF">2023-11-10T08:10:45Z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8711BF4D818D47BA891FE662863FA5CE_13</vt:lpwstr>
  </property>
</Properties>
</file>