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rPr>
        <w:t>精品在线课程</w:t>
      </w:r>
      <w:r>
        <w:rPr>
          <w:rFonts w:hint="eastAsia" w:ascii="华文中宋" w:hAnsi="华文中宋" w:eastAsia="华文中宋" w:cs="华文中宋"/>
          <w:sz w:val="44"/>
          <w:szCs w:val="44"/>
          <w:lang w:val="en-US" w:eastAsia="zh-CN"/>
        </w:rPr>
        <w:t>动画</w:t>
      </w:r>
      <w:r>
        <w:rPr>
          <w:rFonts w:hint="eastAsia" w:ascii="华文中宋" w:hAnsi="华文中宋" w:eastAsia="华文中宋" w:cs="华文中宋"/>
          <w:sz w:val="44"/>
          <w:szCs w:val="44"/>
        </w:rPr>
        <w:t>资源</w:t>
      </w:r>
      <w:r>
        <w:rPr>
          <w:rFonts w:hint="eastAsia" w:ascii="华文中宋" w:hAnsi="华文中宋" w:eastAsia="华文中宋" w:cs="华文中宋"/>
          <w:sz w:val="44"/>
          <w:szCs w:val="44"/>
          <w:lang w:val="en-US" w:eastAsia="zh-CN"/>
        </w:rPr>
        <w:t>采购</w:t>
      </w:r>
      <w:r>
        <w:rPr>
          <w:rFonts w:hint="eastAsia" w:ascii="华文中宋" w:hAnsi="华文中宋" w:eastAsia="华文中宋" w:cs="华文中宋"/>
          <w:sz w:val="44"/>
          <w:szCs w:val="44"/>
          <w:lang w:eastAsia="zh-CN"/>
        </w:rPr>
        <w:t>清单</w:t>
      </w:r>
    </w:p>
    <w:tbl>
      <w:tblPr>
        <w:tblStyle w:val="5"/>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305"/>
        <w:gridCol w:w="3783"/>
        <w:gridCol w:w="115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b/>
                <w:sz w:val="21"/>
                <w:szCs w:val="21"/>
              </w:rPr>
            </w:pPr>
            <w:r>
              <w:rPr>
                <w:rFonts w:hint="eastAsia"/>
                <w:b/>
                <w:sz w:val="21"/>
                <w:szCs w:val="21"/>
              </w:rPr>
              <w:t>序号</w:t>
            </w:r>
          </w:p>
        </w:tc>
        <w:tc>
          <w:tcPr>
            <w:tcW w:w="2305" w:type="dxa"/>
          </w:tcPr>
          <w:p>
            <w:pPr>
              <w:keepNext w:val="0"/>
              <w:keepLines w:val="0"/>
              <w:pageBreakBefore w:val="0"/>
              <w:kinsoku/>
              <w:wordWrap/>
              <w:overflowPunct/>
              <w:topLinePunct w:val="0"/>
              <w:autoSpaceDE/>
              <w:autoSpaceDN/>
              <w:bidi w:val="0"/>
              <w:adjustRightInd/>
              <w:snapToGrid/>
              <w:spacing w:line="240" w:lineRule="atLeast"/>
              <w:jc w:val="center"/>
              <w:rPr>
                <w:b/>
                <w:sz w:val="21"/>
                <w:szCs w:val="21"/>
              </w:rPr>
            </w:pPr>
            <w:r>
              <w:rPr>
                <w:rFonts w:hint="eastAsia"/>
                <w:b/>
                <w:sz w:val="21"/>
                <w:szCs w:val="21"/>
              </w:rPr>
              <w:t>视频名称</w:t>
            </w:r>
          </w:p>
        </w:tc>
        <w:tc>
          <w:tcPr>
            <w:tcW w:w="3783" w:type="dxa"/>
          </w:tcPr>
          <w:p>
            <w:pPr>
              <w:keepNext w:val="0"/>
              <w:keepLines w:val="0"/>
              <w:pageBreakBefore w:val="0"/>
              <w:kinsoku/>
              <w:wordWrap/>
              <w:overflowPunct/>
              <w:topLinePunct w:val="0"/>
              <w:autoSpaceDE/>
              <w:autoSpaceDN/>
              <w:bidi w:val="0"/>
              <w:adjustRightInd/>
              <w:snapToGrid/>
              <w:spacing w:line="240" w:lineRule="atLeast"/>
              <w:jc w:val="center"/>
              <w:rPr>
                <w:rFonts w:hint="eastAsia"/>
                <w:b/>
                <w:sz w:val="21"/>
                <w:szCs w:val="21"/>
              </w:rPr>
            </w:pPr>
            <w:r>
              <w:rPr>
                <w:rFonts w:hint="eastAsia"/>
                <w:b/>
                <w:sz w:val="21"/>
                <w:szCs w:val="21"/>
                <w:lang w:val="en-US" w:eastAsia="zh-CN"/>
              </w:rPr>
              <w:t>视频</w:t>
            </w:r>
            <w:r>
              <w:rPr>
                <w:rFonts w:hint="eastAsia"/>
                <w:b/>
                <w:sz w:val="21"/>
                <w:szCs w:val="21"/>
              </w:rPr>
              <w:t>动画说明</w:t>
            </w:r>
          </w:p>
        </w:tc>
        <w:tc>
          <w:tcPr>
            <w:tcW w:w="1150" w:type="dxa"/>
          </w:tcPr>
          <w:p>
            <w:pPr>
              <w:keepNext w:val="0"/>
              <w:keepLines w:val="0"/>
              <w:pageBreakBefore w:val="0"/>
              <w:kinsoku/>
              <w:wordWrap/>
              <w:overflowPunct/>
              <w:topLinePunct w:val="0"/>
              <w:autoSpaceDE/>
              <w:autoSpaceDN/>
              <w:bidi w:val="0"/>
              <w:adjustRightInd/>
              <w:snapToGrid/>
              <w:spacing w:line="240" w:lineRule="atLeast"/>
              <w:jc w:val="center"/>
              <w:rPr>
                <w:b/>
                <w:sz w:val="21"/>
                <w:szCs w:val="21"/>
              </w:rPr>
            </w:pPr>
            <w:r>
              <w:rPr>
                <w:rFonts w:hint="eastAsia"/>
                <w:b/>
                <w:sz w:val="21"/>
                <w:szCs w:val="21"/>
              </w:rPr>
              <w:t>动画时长</w:t>
            </w:r>
          </w:p>
        </w:tc>
        <w:tc>
          <w:tcPr>
            <w:tcW w:w="1200" w:type="dxa"/>
          </w:tcPr>
          <w:p>
            <w:pPr>
              <w:keepNext w:val="0"/>
              <w:keepLines w:val="0"/>
              <w:pageBreakBefore w:val="0"/>
              <w:kinsoku/>
              <w:wordWrap/>
              <w:overflowPunct/>
              <w:topLinePunct w:val="0"/>
              <w:autoSpaceDE/>
              <w:autoSpaceDN/>
              <w:bidi w:val="0"/>
              <w:adjustRightInd/>
              <w:snapToGrid/>
              <w:spacing w:line="240" w:lineRule="atLeast"/>
              <w:jc w:val="center"/>
              <w:rPr>
                <w:rFonts w:hint="default" w:eastAsiaTheme="minorEastAsia"/>
                <w:b/>
                <w:sz w:val="21"/>
                <w:szCs w:val="21"/>
                <w:lang w:val="en-US" w:eastAsia="zh-CN"/>
              </w:rPr>
            </w:pPr>
            <w:r>
              <w:rPr>
                <w:rFonts w:hint="eastAsia"/>
                <w:b/>
                <w:sz w:val="21"/>
                <w:szCs w:val="21"/>
                <w:lang w:val="en-US" w:eastAsia="zh-CN"/>
              </w:rPr>
              <w:t>预算费用（元）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1</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sz w:val="21"/>
                <w:szCs w:val="21"/>
              </w:rPr>
            </w:pPr>
            <w:r>
              <w:rPr>
                <w:rFonts w:hint="eastAsia" w:ascii="宋体" w:hAnsi="宋体" w:eastAsia="宋体" w:cs="宋体"/>
                <w:i w:val="0"/>
                <w:iCs w:val="0"/>
                <w:color w:val="000000"/>
                <w:kern w:val="0"/>
                <w:sz w:val="21"/>
                <w:szCs w:val="21"/>
                <w:u w:val="none"/>
                <w:lang w:val="en-US" w:eastAsia="zh-CN" w:bidi="ar"/>
              </w:rPr>
              <w:t>低压灌溉轮灌方案1</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default" w:ascii="Calibri" w:hAnsi="Calibri" w:eastAsia="宋体" w:cs="Calibri"/>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在同个低压灌溉系统上展示2个田块同时灌溉，展示对农作物轮灌过程，以及体现每个管道的灌水范围。</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b w:val="0"/>
                <w:bCs w:val="0"/>
                <w:sz w:val="21"/>
                <w:szCs w:val="21"/>
              </w:rPr>
            </w:pPr>
            <w:r>
              <w:rPr>
                <w:rFonts w:hint="default" w:ascii="Calibri" w:hAnsi="Calibri" w:eastAsia="宋体" w:cs="Calibri"/>
                <w:b w:val="0"/>
                <w:bCs w:val="0"/>
                <w:i w:val="0"/>
                <w:iCs w:val="0"/>
                <w:color w:val="000000"/>
                <w:kern w:val="0"/>
                <w:sz w:val="21"/>
                <w:szCs w:val="21"/>
                <w:u w:val="none"/>
                <w:lang w:val="en-US" w:eastAsia="zh-CN" w:bidi="ar"/>
              </w:rPr>
              <w:t>36</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eastAsiaTheme="minorEastAsia"/>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2</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低压灌溉轮灌方案2</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default" w:ascii="Calibri" w:hAnsi="Calibri" w:eastAsia="宋体" w:cs="Calibri"/>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在同个低压灌溉系统上展示1个田块灌溉，展示对农作物轮灌过程，以及体现每个管道的灌水范围。</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32</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eastAsiaTheme="minorEastAsia"/>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3</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节水灌溉管道截止阀</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展示水在截止阀的开/关下2种状态的内部流动过程。</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分钟</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4</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节水灌溉管道法兰连接</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展示法兰连接管道在连接时使用的详细连接工艺过程。</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25</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5</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节水灌溉管道螺纹连接</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展示螺纹连接管道在连接时使用的详细连接工艺过程。</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26</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6</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节水灌溉管道热熔连接</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展示热熔连接管道在连接时使用的详细连接工艺过程。</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41</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7</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比例施肥器</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展示水在比例施肥器中内部流动以及加入肥料过程。</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分</w:t>
            </w:r>
            <w:r>
              <w:rPr>
                <w:rStyle w:val="10"/>
                <w:rFonts w:eastAsia="宋体"/>
                <w:b w:val="0"/>
                <w:bCs w:val="0"/>
                <w:sz w:val="21"/>
                <w:szCs w:val="21"/>
                <w:lang w:val="en-US" w:eastAsia="zh-CN" w:bidi="ar"/>
              </w:rPr>
              <w:t>14</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8</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叠片过滤器</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展示水在叠片过滤器中内部流动以及叠片过滤器内部设备去除水中杂质具体工作过程。</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分</w:t>
            </w:r>
            <w:r>
              <w:rPr>
                <w:rStyle w:val="10"/>
                <w:rFonts w:eastAsia="宋体"/>
                <w:b w:val="0"/>
                <w:bCs w:val="0"/>
                <w:sz w:val="21"/>
                <w:szCs w:val="21"/>
                <w:lang w:val="en-US" w:eastAsia="zh-CN" w:bidi="ar"/>
              </w:rPr>
              <w:t>17</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9</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叠片式滤水器</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展示水在叠片式滤水器中内部流动以及叠片式滤水器内部设备去除水中杂质具体工作过程。</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10</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砂石过滤器</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展示水在砂石过滤器中内部流动以及砂石过滤器内部设备去除水中杂质具体工作过程。</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11</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筛网过滤器</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展示水在筛网过滤器中内部流动以及筛网过滤器内部设备去除水中杂质具体工作过程。</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16</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12</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文丘里施肥器1</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展示水在文丘里施肥器内部流动过程以及肥料与水融合成为肥料水详细过程。</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13</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文丘里施肥器</w:t>
            </w:r>
            <w:r>
              <w:rPr>
                <w:rStyle w:val="9"/>
                <w:rFonts w:eastAsia="宋体"/>
                <w:sz w:val="21"/>
                <w:szCs w:val="21"/>
                <w:lang w:val="en-US" w:eastAsia="zh-CN" w:bidi="ar"/>
              </w:rPr>
              <w:t>2</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展示水在文丘里施肥器内部流动过程以及肥料与水融合成为肥料水详细过程。</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分</w:t>
            </w:r>
            <w:r>
              <w:rPr>
                <w:rStyle w:val="10"/>
                <w:rFonts w:eastAsia="宋体"/>
                <w:b w:val="0"/>
                <w:bCs w:val="0"/>
                <w:sz w:val="21"/>
                <w:szCs w:val="21"/>
                <w:lang w:val="en-US" w:eastAsia="zh-CN" w:bidi="ar"/>
              </w:rPr>
              <w:t>25</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14</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压力补偿式滴头</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展示水在压力补偿式滴头内部流动过程以及水从滴头流出来后的灌溉效果。</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16</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15</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摇臂式喷头</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展示水从管道到喷头内部流动过程以及水从喷头出来后的灌溉效果。</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12</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16</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滴灌工作原理动画</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展示水从水源工程-首部枢纽-输配水管网-灌水器这些结构中每个设备在水流经过时工作详细过程。</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34</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HAnsi" w:hAnsiTheme="minorHAnsi" w:eastAsiaTheme="minorEastAsia"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eastAsia"/>
                <w:sz w:val="21"/>
                <w:szCs w:val="21"/>
              </w:rPr>
            </w:pPr>
            <w:r>
              <w:rPr>
                <w:rFonts w:hint="eastAsia"/>
                <w:sz w:val="21"/>
                <w:szCs w:val="21"/>
              </w:rPr>
              <w:t>17</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微灌轮灌方案1</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展示同一管道上同时双向灌溉，对农作物轮灌过程，以及体现每个管道的灌水范围。</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分</w:t>
            </w:r>
            <w:r>
              <w:rPr>
                <w:rStyle w:val="10"/>
                <w:rFonts w:eastAsia="宋体"/>
                <w:b w:val="0"/>
                <w:bCs w:val="0"/>
                <w:sz w:val="21"/>
                <w:szCs w:val="21"/>
                <w:lang w:val="en-US" w:eastAsia="zh-CN" w:bidi="ar"/>
              </w:rPr>
              <w:t>08</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center"/>
              <w:rPr>
                <w:rFonts w:hint="default" w:eastAsiaTheme="minorEastAsia"/>
                <w:sz w:val="21"/>
                <w:szCs w:val="21"/>
                <w:lang w:val="en-US" w:eastAsia="zh-CN"/>
              </w:rPr>
            </w:pPr>
            <w:r>
              <w:rPr>
                <w:rFonts w:hint="eastAsia"/>
                <w:sz w:val="21"/>
                <w:szCs w:val="21"/>
                <w:lang w:val="en-US" w:eastAsia="zh-CN"/>
              </w:rPr>
              <w:t>18</w:t>
            </w:r>
          </w:p>
        </w:tc>
        <w:tc>
          <w:tcPr>
            <w:tcW w:w="2305"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微灌轮灌方案2</w:t>
            </w:r>
          </w:p>
        </w:tc>
        <w:tc>
          <w:tcPr>
            <w:tcW w:w="3783"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展示同一管道上同时单向灌溉，对农作物轮灌过程，以及体现每个管道的灌水范围。</w:t>
            </w:r>
          </w:p>
        </w:tc>
        <w:tc>
          <w:tcPr>
            <w:tcW w:w="1150"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asciiTheme="minorHAnsi" w:hAnsiTheme="minorHAnsi" w:eastAsiaTheme="minorEastAsia" w:cstheme="minorBidi"/>
                <w:b w:val="0"/>
                <w:bCs w:val="0"/>
                <w:kern w:val="2"/>
                <w:sz w:val="21"/>
                <w:szCs w:val="21"/>
                <w:lang w:val="en-US" w:eastAsia="zh-CN" w:bidi="ar-SA"/>
              </w:rPr>
            </w:pPr>
            <w:r>
              <w:rPr>
                <w:rFonts w:hint="default" w:ascii="Calibri" w:hAnsi="Calibri" w:eastAsia="宋体" w:cs="Calibri"/>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分</w:t>
            </w:r>
            <w:r>
              <w:rPr>
                <w:rStyle w:val="10"/>
                <w:rFonts w:eastAsia="宋体"/>
                <w:b w:val="0"/>
                <w:bCs w:val="0"/>
                <w:sz w:val="21"/>
                <w:szCs w:val="21"/>
                <w:lang w:val="en-US" w:eastAsia="zh-CN" w:bidi="ar"/>
              </w:rPr>
              <w:t>08</w:t>
            </w:r>
            <w:r>
              <w:rPr>
                <w:rFonts w:hint="eastAsia" w:ascii="宋体" w:hAnsi="宋体" w:eastAsia="宋体" w:cs="宋体"/>
                <w:b w:val="0"/>
                <w:bCs w:val="0"/>
                <w:i w:val="0"/>
                <w:iCs w:val="0"/>
                <w:color w:val="000000"/>
                <w:kern w:val="0"/>
                <w:sz w:val="21"/>
                <w:szCs w:val="21"/>
                <w:u w:val="none"/>
                <w:lang w:val="en-US" w:eastAsia="zh-CN" w:bidi="ar"/>
              </w:rPr>
              <w:t>秒</w:t>
            </w:r>
          </w:p>
        </w:tc>
        <w:tc>
          <w:tcPr>
            <w:tcW w:w="12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pageBreakBefore w:val="0"/>
              <w:kinsoku/>
              <w:wordWrap/>
              <w:overflowPunct/>
              <w:topLinePunct w:val="0"/>
              <w:autoSpaceDE/>
              <w:autoSpaceDN/>
              <w:bidi w:val="0"/>
              <w:adjustRightInd/>
              <w:snapToGrid/>
              <w:spacing w:line="240" w:lineRule="atLeast"/>
              <w:jc w:val="both"/>
              <w:rPr>
                <w:rFonts w:hint="default" w:eastAsiaTheme="minorEastAsia"/>
                <w:sz w:val="21"/>
                <w:szCs w:val="21"/>
                <w:lang w:val="en-US" w:eastAsia="zh-CN"/>
              </w:rPr>
            </w:pPr>
            <w:r>
              <w:rPr>
                <w:rFonts w:hint="eastAsia"/>
                <w:sz w:val="21"/>
                <w:szCs w:val="21"/>
                <w:lang w:val="en-US" w:eastAsia="zh-CN"/>
              </w:rPr>
              <w:t>合计</w:t>
            </w:r>
          </w:p>
        </w:tc>
        <w:tc>
          <w:tcPr>
            <w:tcW w:w="2305" w:type="dxa"/>
            <w:vAlign w:val="top"/>
          </w:tcPr>
          <w:p>
            <w:pPr>
              <w:keepNext w:val="0"/>
              <w:keepLines w:val="0"/>
              <w:pageBreakBefore w:val="0"/>
              <w:kinsoku/>
              <w:wordWrap/>
              <w:overflowPunct/>
              <w:topLinePunct w:val="0"/>
              <w:autoSpaceDE/>
              <w:autoSpaceDN/>
              <w:bidi w:val="0"/>
              <w:adjustRightInd/>
              <w:snapToGrid/>
              <w:spacing w:line="240" w:lineRule="atLeast"/>
              <w:rPr>
                <w:rFonts w:hint="eastAsia" w:asciiTheme="minorHAnsi" w:hAnsiTheme="minorHAnsi" w:eastAsiaTheme="minorEastAsia" w:cstheme="minorBidi"/>
                <w:kern w:val="2"/>
                <w:sz w:val="21"/>
                <w:szCs w:val="21"/>
                <w:lang w:val="en-US" w:eastAsia="zh-CN" w:bidi="ar-SA"/>
              </w:rPr>
            </w:pPr>
          </w:p>
        </w:tc>
        <w:tc>
          <w:tcPr>
            <w:tcW w:w="3783" w:type="dxa"/>
            <w:vAlign w:val="top"/>
          </w:tcPr>
          <w:p>
            <w:pPr>
              <w:keepNext w:val="0"/>
              <w:keepLines w:val="0"/>
              <w:pageBreakBefore w:val="0"/>
              <w:kinsoku/>
              <w:wordWrap/>
              <w:overflowPunct/>
              <w:topLinePunct w:val="0"/>
              <w:autoSpaceDE/>
              <w:autoSpaceDN/>
              <w:bidi w:val="0"/>
              <w:adjustRightInd/>
              <w:snapToGrid/>
              <w:spacing w:line="240" w:lineRule="atLeast"/>
              <w:rPr>
                <w:rFonts w:asciiTheme="minorHAnsi" w:hAnsiTheme="minorHAnsi" w:eastAsiaTheme="minorEastAsia" w:cstheme="minorBidi"/>
                <w:kern w:val="2"/>
                <w:sz w:val="21"/>
                <w:szCs w:val="21"/>
                <w:lang w:val="en-US" w:eastAsia="zh-CN" w:bidi="ar-SA"/>
              </w:rPr>
            </w:pPr>
          </w:p>
        </w:tc>
        <w:tc>
          <w:tcPr>
            <w:tcW w:w="1150" w:type="dxa"/>
            <w:vAlign w:val="top"/>
          </w:tcPr>
          <w:p>
            <w:pPr>
              <w:keepNext w:val="0"/>
              <w:keepLines w:val="0"/>
              <w:pageBreakBefore w:val="0"/>
              <w:kinsoku/>
              <w:wordWrap/>
              <w:overflowPunct/>
              <w:topLinePunct w:val="0"/>
              <w:autoSpaceDE/>
              <w:autoSpaceDN/>
              <w:bidi w:val="0"/>
              <w:adjustRightInd/>
              <w:snapToGrid/>
              <w:spacing w:line="240" w:lineRule="atLeast"/>
              <w:rPr>
                <w:rFonts w:asciiTheme="minorHAnsi" w:hAnsiTheme="minorHAnsi" w:eastAsiaTheme="minorEastAsia" w:cstheme="minorBidi"/>
                <w:kern w:val="2"/>
                <w:sz w:val="21"/>
                <w:szCs w:val="21"/>
                <w:lang w:val="en-US" w:eastAsia="zh-CN" w:bidi="ar-SA"/>
              </w:rPr>
            </w:pPr>
          </w:p>
        </w:tc>
        <w:tc>
          <w:tcPr>
            <w:tcW w:w="1200" w:type="dxa"/>
            <w:vAlign w:val="top"/>
          </w:tcPr>
          <w:p>
            <w:pPr>
              <w:keepNext w:val="0"/>
              <w:keepLines w:val="0"/>
              <w:pageBreakBefore w:val="0"/>
              <w:kinsoku/>
              <w:wordWrap/>
              <w:overflowPunct/>
              <w:topLinePunct w:val="0"/>
              <w:autoSpaceDE/>
              <w:autoSpaceDN/>
              <w:bidi w:val="0"/>
              <w:adjustRightInd/>
              <w:snapToGrid/>
              <w:spacing w:line="240" w:lineRule="atLeast"/>
              <w:jc w:val="center"/>
              <w:rPr>
                <w:rFonts w:hint="default" w:eastAsiaTheme="minorEastAsia"/>
                <w:sz w:val="21"/>
                <w:szCs w:val="21"/>
                <w:lang w:val="en-US" w:eastAsia="zh-CN"/>
              </w:rPr>
            </w:pPr>
            <w:bookmarkStart w:id="0" w:name="_GoBack"/>
            <w:bookmarkEnd w:id="0"/>
          </w:p>
        </w:tc>
      </w:tr>
    </w:tbl>
    <w:p>
      <w:pPr>
        <w:spacing w:line="400" w:lineRule="exact"/>
        <w:ind w:firstLine="640" w:firstLineChars="200"/>
        <w:rPr>
          <w:rFonts w:hint="eastAsia" w:ascii="仿宋" w:hAnsi="仿宋" w:eastAsia="仿宋" w:cs="仿宋"/>
          <w:sz w:val="32"/>
          <w:szCs w:val="32"/>
        </w:rPr>
      </w:pPr>
    </w:p>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报价公司（公司名称）：                            联系人：              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wY2ZiN2NjMTFhYjU2ZDIzMmI0ZGYxNmY3M2M3MTEifQ=="/>
  </w:docVars>
  <w:rsids>
    <w:rsidRoot w:val="17F52EE3"/>
    <w:rsid w:val="000D1309"/>
    <w:rsid w:val="0017330D"/>
    <w:rsid w:val="001B469F"/>
    <w:rsid w:val="003577A2"/>
    <w:rsid w:val="00360F0A"/>
    <w:rsid w:val="003A0600"/>
    <w:rsid w:val="00485975"/>
    <w:rsid w:val="00585D3F"/>
    <w:rsid w:val="00635F1B"/>
    <w:rsid w:val="00A5203E"/>
    <w:rsid w:val="00BE1AC2"/>
    <w:rsid w:val="00C442F7"/>
    <w:rsid w:val="00C9624B"/>
    <w:rsid w:val="00D726E5"/>
    <w:rsid w:val="00DC5C6B"/>
    <w:rsid w:val="00E11377"/>
    <w:rsid w:val="00F016FF"/>
    <w:rsid w:val="00F32298"/>
    <w:rsid w:val="00FF6D59"/>
    <w:rsid w:val="03367AB9"/>
    <w:rsid w:val="03922815"/>
    <w:rsid w:val="0687687D"/>
    <w:rsid w:val="098552F6"/>
    <w:rsid w:val="0D584706"/>
    <w:rsid w:val="0F706100"/>
    <w:rsid w:val="1066305F"/>
    <w:rsid w:val="13CD2A5C"/>
    <w:rsid w:val="143F2545"/>
    <w:rsid w:val="17F52EE3"/>
    <w:rsid w:val="195C5A1A"/>
    <w:rsid w:val="1AAF0DCC"/>
    <w:rsid w:val="1F102867"/>
    <w:rsid w:val="1F8A4FBC"/>
    <w:rsid w:val="1FA3607E"/>
    <w:rsid w:val="202C474F"/>
    <w:rsid w:val="20F42A19"/>
    <w:rsid w:val="21AA3516"/>
    <w:rsid w:val="22C75BE0"/>
    <w:rsid w:val="25E116AE"/>
    <w:rsid w:val="26A050C5"/>
    <w:rsid w:val="27B54BA0"/>
    <w:rsid w:val="28DC615D"/>
    <w:rsid w:val="295D54F0"/>
    <w:rsid w:val="2AB63109"/>
    <w:rsid w:val="2B0D4CF3"/>
    <w:rsid w:val="2B4A43C5"/>
    <w:rsid w:val="2C133D9F"/>
    <w:rsid w:val="309F1C4E"/>
    <w:rsid w:val="31077AEF"/>
    <w:rsid w:val="31AA6DF8"/>
    <w:rsid w:val="328A57FC"/>
    <w:rsid w:val="33AF25C5"/>
    <w:rsid w:val="34666A21"/>
    <w:rsid w:val="34FC4BE1"/>
    <w:rsid w:val="356A2329"/>
    <w:rsid w:val="36F31241"/>
    <w:rsid w:val="3756532C"/>
    <w:rsid w:val="3AA641C2"/>
    <w:rsid w:val="3D793B23"/>
    <w:rsid w:val="3DAB7E07"/>
    <w:rsid w:val="3E081F73"/>
    <w:rsid w:val="3FEE07F8"/>
    <w:rsid w:val="421D7172"/>
    <w:rsid w:val="42B40F77"/>
    <w:rsid w:val="4346471B"/>
    <w:rsid w:val="4496320C"/>
    <w:rsid w:val="46401681"/>
    <w:rsid w:val="471072A6"/>
    <w:rsid w:val="475A49C5"/>
    <w:rsid w:val="4AF34F14"/>
    <w:rsid w:val="4B6D30DE"/>
    <w:rsid w:val="4BF47196"/>
    <w:rsid w:val="4C4905C7"/>
    <w:rsid w:val="4DBE7C4A"/>
    <w:rsid w:val="4E994E15"/>
    <w:rsid w:val="53DA1367"/>
    <w:rsid w:val="56C67031"/>
    <w:rsid w:val="587020A4"/>
    <w:rsid w:val="58F033DB"/>
    <w:rsid w:val="597E2D83"/>
    <w:rsid w:val="5AF1353F"/>
    <w:rsid w:val="5E371DF4"/>
    <w:rsid w:val="62CF7BBD"/>
    <w:rsid w:val="640A0F0C"/>
    <w:rsid w:val="64356146"/>
    <w:rsid w:val="646627A3"/>
    <w:rsid w:val="65AD65DC"/>
    <w:rsid w:val="66BB5028"/>
    <w:rsid w:val="673426E5"/>
    <w:rsid w:val="67EC79E0"/>
    <w:rsid w:val="69F73D55"/>
    <w:rsid w:val="6B4F3F91"/>
    <w:rsid w:val="6BEC358E"/>
    <w:rsid w:val="6DDE532A"/>
    <w:rsid w:val="6E8563B9"/>
    <w:rsid w:val="704C4F43"/>
    <w:rsid w:val="71CD20B4"/>
    <w:rsid w:val="72133F6A"/>
    <w:rsid w:val="72F62F44"/>
    <w:rsid w:val="73955040"/>
    <w:rsid w:val="740A314B"/>
    <w:rsid w:val="779C67B0"/>
    <w:rsid w:val="7B1E128A"/>
    <w:rsid w:val="7B30793B"/>
    <w:rsid w:val="7D6B2EAC"/>
    <w:rsid w:val="7DFD5ACF"/>
    <w:rsid w:val="7E6E0173"/>
    <w:rsid w:val="7FC65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 w:type="character" w:customStyle="1" w:styleId="9">
    <w:name w:val="font21"/>
    <w:basedOn w:val="6"/>
    <w:qFormat/>
    <w:uiPriority w:val="0"/>
    <w:rPr>
      <w:rFonts w:ascii="Calibri" w:hAnsi="Calibri" w:cs="Calibri"/>
      <w:color w:val="000000"/>
      <w:sz w:val="24"/>
      <w:szCs w:val="24"/>
      <w:u w:val="none"/>
    </w:rPr>
  </w:style>
  <w:style w:type="character" w:customStyle="1" w:styleId="10">
    <w:name w:val="font11"/>
    <w:basedOn w:val="6"/>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994</Words>
  <Characters>1071</Characters>
  <Lines>4</Lines>
  <Paragraphs>1</Paragraphs>
  <TotalTime>9556</TotalTime>
  <ScaleCrop>false</ScaleCrop>
  <LinksUpToDate>false</LinksUpToDate>
  <CharactersWithSpaces>1139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2022-07-21T03:26:00Z</dcterms:created>
  <dc:creator>banana</dc:creator>
  <cp:lastModifiedBy>Ace</cp:lastModifiedBy>
  <dcterms:modified xsi:type="dcterms:W3CDTF">2022-10-07T01:16:33Z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D71B723AAAF742B58B7D873DDCAF44F9</vt:lpwstr>
  </property>
</Properties>
</file>