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《BIM 技术应用》课程中译英技术参数</w:t>
      </w:r>
    </w:p>
    <w:tbl>
      <w:tblPr>
        <w:tblStyle w:val="7"/>
        <w:tblpPr w:leftFromText="180" w:rightFromText="180" w:vertAnchor="text" w:horzAnchor="page" w:tblpX="823" w:tblpY="301"/>
        <w:tblOverlap w:val="never"/>
        <w:tblW w:w="15139" w:type="dxa"/>
        <w:tblInd w:w="0" w:type="dxa"/>
        <w:tblLayout w:type="fixed"/>
        <w:tblCellMar>
          <w:top w:w="0" w:type="dxa"/>
          <w:left w:w="0" w:type="dxa"/>
          <w:bottom w:w="0" w:type="dxa"/>
          <w:right w:w="0" w:type="dxa"/>
        </w:tblCellMar>
      </w:tblPr>
      <w:tblGrid>
        <w:gridCol w:w="310"/>
        <w:gridCol w:w="616"/>
        <w:gridCol w:w="10362"/>
        <w:gridCol w:w="1841"/>
        <w:gridCol w:w="2010"/>
      </w:tblGrid>
      <w:tr>
        <w:tblPrEx>
          <w:tblLayout w:type="fixed"/>
          <w:tblCellMar>
            <w:top w:w="0" w:type="dxa"/>
            <w:left w:w="0" w:type="dxa"/>
            <w:bottom w:w="0" w:type="dxa"/>
            <w:right w:w="0" w:type="dxa"/>
          </w:tblCellMar>
        </w:tblPrEx>
        <w:trPr>
          <w:trHeight w:val="492" w:hRule="atLeast"/>
        </w:trPr>
        <w:tc>
          <w:tcPr>
            <w:tcW w:w="15139" w:type="dxa"/>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ascii="宋体" w:hAnsi="宋体"/>
                <w:b/>
                <w:bCs/>
                <w:color w:val="000000"/>
              </w:rPr>
            </w:pPr>
            <w:r>
              <w:rPr>
                <w:rFonts w:hint="eastAsia" w:ascii="宋体" w:hAnsi="宋体"/>
                <w:b/>
                <w:bCs/>
                <w:color w:val="000000"/>
              </w:rPr>
              <w:t>一、</w:t>
            </w:r>
            <w:r>
              <w:rPr>
                <w:rFonts w:hint="eastAsia" w:ascii="宋体" w:hAnsi="宋体" w:cs="宋体"/>
                <w:b/>
                <w:bCs/>
                <w:kern w:val="0"/>
                <w:szCs w:val="21"/>
              </w:rPr>
              <w:t>技术参数要求</w:t>
            </w:r>
          </w:p>
        </w:tc>
      </w:tr>
      <w:tr>
        <w:tblPrEx>
          <w:tblLayout w:type="fixed"/>
          <w:tblCellMar>
            <w:top w:w="0" w:type="dxa"/>
            <w:left w:w="0" w:type="dxa"/>
            <w:bottom w:w="0" w:type="dxa"/>
            <w:right w:w="0" w:type="dxa"/>
          </w:tblCellMar>
        </w:tblPrEx>
        <w:trPr>
          <w:trHeight w:val="676" w:hRule="atLeast"/>
        </w:trPr>
        <w:tc>
          <w:tcPr>
            <w:tcW w:w="3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ascii="宋体" w:hAnsi="宋体"/>
                <w:b/>
                <w:bCs/>
                <w:color w:val="000000"/>
                <w:kern w:val="0"/>
              </w:rPr>
            </w:pPr>
            <w:r>
              <w:rPr>
                <w:rFonts w:hint="eastAsia" w:ascii="宋体" w:hAnsi="宋体"/>
                <w:b/>
                <w:bCs/>
                <w:color w:val="000000"/>
                <w:kern w:val="0"/>
              </w:rPr>
              <w:t>序号</w:t>
            </w:r>
          </w:p>
        </w:tc>
        <w:tc>
          <w:tcPr>
            <w:tcW w:w="61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snapToGrid w:val="0"/>
              <w:jc w:val="center"/>
              <w:rPr>
                <w:rFonts w:ascii="宋体" w:hAnsi="宋体"/>
                <w:b/>
                <w:bCs/>
                <w:color w:val="000000"/>
              </w:rPr>
            </w:pPr>
            <w:r>
              <w:rPr>
                <w:rFonts w:hint="eastAsia" w:ascii="宋体" w:hAnsi="宋体"/>
                <w:b/>
                <w:bCs/>
                <w:color w:val="000000"/>
              </w:rPr>
              <w:t>采购内容</w:t>
            </w:r>
          </w:p>
        </w:tc>
        <w:tc>
          <w:tcPr>
            <w:tcW w:w="10362"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snapToGrid w:val="0"/>
              <w:jc w:val="center"/>
              <w:rPr>
                <w:rFonts w:ascii="宋体" w:hAnsi="宋体"/>
                <w:b/>
                <w:bCs/>
                <w:color w:val="000000"/>
                <w:kern w:val="0"/>
              </w:rPr>
            </w:pPr>
            <w:r>
              <w:rPr>
                <w:rFonts w:hint="eastAsia" w:ascii="宋体" w:hAnsi="宋体" w:cs="仿宋_GB2312"/>
                <w:b/>
                <w:bCs/>
                <w:color w:val="000000"/>
                <w:kern w:val="0"/>
              </w:rPr>
              <w:t>技术参数</w:t>
            </w:r>
          </w:p>
        </w:tc>
        <w:tc>
          <w:tcPr>
            <w:tcW w:w="1841"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jc w:val="center"/>
              <w:rPr>
                <w:rFonts w:ascii="宋体" w:hAnsi="宋体" w:cs="仿宋_GB2312"/>
                <w:b/>
                <w:bCs/>
                <w:color w:val="000000"/>
                <w:kern w:val="0"/>
              </w:rPr>
            </w:pPr>
            <w:r>
              <w:rPr>
                <w:rFonts w:hint="eastAsia" w:ascii="宋体" w:hAnsi="宋体" w:cs="仿宋_GB2312"/>
                <w:b/>
                <w:bCs/>
                <w:color w:val="000000"/>
                <w:kern w:val="0"/>
              </w:rPr>
              <w:t>计量单位</w:t>
            </w:r>
          </w:p>
        </w:tc>
        <w:tc>
          <w:tcPr>
            <w:tcW w:w="2010" w:type="dxa"/>
            <w:tcBorders>
              <w:top w:val="single" w:color="auto" w:sz="4" w:space="0"/>
              <w:left w:val="nil"/>
              <w:bottom w:val="single" w:color="auto" w:sz="4" w:space="0"/>
              <w:right w:val="single" w:color="auto" w:sz="4" w:space="0"/>
            </w:tcBorders>
            <w:vAlign w:val="center"/>
          </w:tcPr>
          <w:p>
            <w:pPr>
              <w:jc w:val="center"/>
              <w:rPr>
                <w:rFonts w:ascii="宋体" w:hAnsi="宋体" w:cs="仿宋_GB2312"/>
                <w:b/>
                <w:bCs/>
                <w:color w:val="000000"/>
                <w:kern w:val="0"/>
              </w:rPr>
            </w:pPr>
            <w:r>
              <w:rPr>
                <w:rFonts w:hint="eastAsia" w:ascii="宋体" w:hAnsi="宋体"/>
                <w:b/>
                <w:bCs/>
                <w:color w:val="000000"/>
                <w:kern w:val="0"/>
              </w:rPr>
              <w:t>数量</w:t>
            </w:r>
          </w:p>
        </w:tc>
      </w:tr>
      <w:tr>
        <w:tblPrEx>
          <w:tblLayout w:type="fixed"/>
          <w:tblCellMar>
            <w:top w:w="0" w:type="dxa"/>
            <w:left w:w="0" w:type="dxa"/>
            <w:bottom w:w="0" w:type="dxa"/>
            <w:right w:w="0" w:type="dxa"/>
          </w:tblCellMar>
        </w:tblPrEx>
        <w:trPr>
          <w:trHeight w:val="3324" w:hRule="atLeast"/>
        </w:trPr>
        <w:tc>
          <w:tcPr>
            <w:tcW w:w="310" w:type="dxa"/>
            <w:tcBorders>
              <w:top w:val="single" w:color="auto" w:sz="4" w:space="0"/>
              <w:left w:val="single" w:color="auto" w:sz="4" w:space="0"/>
              <w:right w:val="single" w:color="auto" w:sz="4" w:space="0"/>
            </w:tcBorders>
            <w:tcMar>
              <w:top w:w="13" w:type="dxa"/>
              <w:left w:w="57" w:type="dxa"/>
              <w:bottom w:w="0" w:type="dxa"/>
              <w:right w:w="57" w:type="dxa"/>
            </w:tcMar>
            <w:vAlign w:val="center"/>
          </w:tcPr>
          <w:p>
            <w:pPr>
              <w:pStyle w:val="14"/>
              <w:widowControl/>
              <w:ind w:firstLine="0" w:firstLineChars="0"/>
              <w:textAlignment w:val="center"/>
              <w:rPr>
                <w:rFonts w:ascii="宋体" w:hAnsi="宋体" w:cs="宋体"/>
                <w:color w:val="000000"/>
                <w:kern w:val="0"/>
                <w:lang w:bidi="zh-CN"/>
              </w:rPr>
            </w:pPr>
            <w:r>
              <w:rPr>
                <w:rFonts w:hint="eastAsia" w:ascii="宋体" w:hAnsi="宋体" w:cs="宋体"/>
                <w:color w:val="000000"/>
                <w:kern w:val="0"/>
                <w:lang w:bidi="zh-CN"/>
              </w:rPr>
              <w:t>1</w:t>
            </w:r>
          </w:p>
        </w:tc>
        <w:tc>
          <w:tcPr>
            <w:tcW w:w="616" w:type="dxa"/>
            <w:tcBorders>
              <w:top w:val="single" w:color="auto" w:sz="4" w:space="0"/>
              <w:left w:val="nil"/>
              <w:right w:val="single" w:color="auto" w:sz="4" w:space="0"/>
            </w:tcBorders>
            <w:tcMar>
              <w:top w:w="13" w:type="dxa"/>
              <w:left w:w="57" w:type="dxa"/>
              <w:bottom w:w="0" w:type="dxa"/>
              <w:right w:w="57" w:type="dxa"/>
            </w:tcMar>
            <w:vAlign w:val="center"/>
          </w:tcPr>
          <w:p>
            <w:pPr>
              <w:widowControl/>
              <w:jc w:val="center"/>
              <w:textAlignment w:val="center"/>
              <w:rPr>
                <w:rFonts w:ascii="宋体" w:hAnsi="宋体" w:cs="宋体"/>
                <w:color w:val="000000"/>
                <w:kern w:val="0"/>
                <w:lang w:bidi="zh-CN"/>
              </w:rPr>
            </w:pPr>
            <w:r>
              <w:rPr>
                <w:rFonts w:hint="eastAsia" w:ascii="宋体" w:hAnsi="宋体" w:cs="宋体"/>
                <w:color w:val="000000"/>
                <w:kern w:val="0"/>
                <w:lang w:bidi="zh-CN"/>
              </w:rPr>
              <w:t>《B</w:t>
            </w:r>
            <w:r>
              <w:rPr>
                <w:rFonts w:ascii="宋体" w:hAnsi="宋体" w:cs="宋体"/>
                <w:color w:val="000000"/>
                <w:kern w:val="0"/>
                <w:lang w:bidi="zh-CN"/>
              </w:rPr>
              <w:t>IM</w:t>
            </w:r>
            <w:r>
              <w:rPr>
                <w:rFonts w:hint="eastAsia" w:ascii="宋体" w:hAnsi="宋体" w:cs="宋体"/>
                <w:color w:val="000000"/>
                <w:kern w:val="0"/>
                <w:lang w:bidi="zh-CN"/>
              </w:rPr>
              <w:t>技术应用课件》翻译</w:t>
            </w:r>
          </w:p>
          <w:p>
            <w:pPr>
              <w:widowControl/>
              <w:jc w:val="center"/>
              <w:textAlignment w:val="center"/>
              <w:rPr>
                <w:rFonts w:ascii="宋体" w:hAnsi="宋体" w:cs="宋体"/>
                <w:color w:val="000000"/>
                <w:kern w:val="0"/>
                <w:lang w:bidi="zh-CN"/>
              </w:rPr>
            </w:pPr>
          </w:p>
        </w:tc>
        <w:tc>
          <w:tcPr>
            <w:tcW w:w="10362" w:type="dxa"/>
            <w:tcBorders>
              <w:top w:val="single" w:color="auto" w:sz="4" w:space="0"/>
              <w:left w:val="nil"/>
              <w:right w:val="single" w:color="auto" w:sz="4" w:space="0"/>
            </w:tcBorders>
            <w:tcMar>
              <w:top w:w="13" w:type="dxa"/>
              <w:left w:w="57" w:type="dxa"/>
              <w:bottom w:w="0" w:type="dxa"/>
              <w:right w:w="57" w:type="dxa"/>
            </w:tcMar>
            <w:vAlign w:val="center"/>
          </w:tcPr>
          <w:p>
            <w:pPr>
              <w:pStyle w:val="3"/>
              <w:autoSpaceDE/>
              <w:autoSpaceDN/>
              <w:spacing w:line="276" w:lineRule="auto"/>
              <w:ind w:right="303"/>
              <w:jc w:val="both"/>
              <w:rPr>
                <w:spacing w:val="-14"/>
                <w:lang w:eastAsia="zh-CN"/>
              </w:rPr>
            </w:pPr>
            <w:r>
              <w:rPr>
                <w:rFonts w:hint="eastAsia"/>
                <w:b/>
                <w:bCs/>
                <w:spacing w:val="-14"/>
                <w:lang w:eastAsia="zh-CN"/>
              </w:rPr>
              <w:t>译员资质：</w:t>
            </w:r>
            <w:r>
              <w:rPr>
                <w:rFonts w:hint="eastAsia"/>
                <w:spacing w:val="-14"/>
                <w:lang w:eastAsia="zh-CN"/>
              </w:rPr>
              <w:t>译员为公司专职译员；译员需持有人事部C</w:t>
            </w:r>
            <w:r>
              <w:rPr>
                <w:spacing w:val="-14"/>
                <w:lang w:eastAsia="zh-CN"/>
              </w:rPr>
              <w:t>ATTI</w:t>
            </w:r>
            <w:r>
              <w:rPr>
                <w:rFonts w:hint="eastAsia"/>
                <w:spacing w:val="-14"/>
                <w:lang w:eastAsia="zh-CN"/>
              </w:rPr>
              <w:t>资质证书（其中一、二、三级合计不少于8人），且需提供译员一年期以上社保缴纳证明；</w:t>
            </w:r>
          </w:p>
          <w:p>
            <w:pPr>
              <w:pStyle w:val="3"/>
              <w:autoSpaceDE/>
              <w:autoSpaceDN/>
              <w:spacing w:line="276" w:lineRule="auto"/>
              <w:ind w:right="303"/>
              <w:jc w:val="both"/>
              <w:rPr>
                <w:spacing w:val="-14"/>
                <w:lang w:eastAsia="zh-CN"/>
              </w:rPr>
            </w:pPr>
            <w:r>
              <w:rPr>
                <w:rFonts w:hint="eastAsia"/>
                <w:b/>
                <w:bCs/>
                <w:spacing w:val="-14"/>
                <w:lang w:eastAsia="zh-CN"/>
              </w:rPr>
              <w:t>工作流程：</w:t>
            </w:r>
            <w:r>
              <w:rPr>
                <w:rFonts w:hint="eastAsia"/>
                <w:spacing w:val="-14"/>
                <w:lang w:eastAsia="zh-CN"/>
              </w:rPr>
              <w:t>有完善可行的翻译工作流程，以确保翻译质量</w:t>
            </w:r>
          </w:p>
          <w:p>
            <w:pPr>
              <w:pStyle w:val="3"/>
              <w:autoSpaceDE/>
              <w:autoSpaceDN/>
              <w:spacing w:line="276" w:lineRule="auto"/>
              <w:ind w:right="303"/>
              <w:jc w:val="both"/>
              <w:rPr>
                <w:spacing w:val="-14"/>
                <w:lang w:eastAsia="zh-CN"/>
              </w:rPr>
            </w:pPr>
            <w:r>
              <w:rPr>
                <w:rFonts w:hint="eastAsia"/>
                <w:b/>
                <w:bCs/>
                <w:spacing w:val="-14"/>
                <w:lang w:eastAsia="zh-CN"/>
              </w:rPr>
              <w:t>应急响应：</w:t>
            </w:r>
            <w:r>
              <w:rPr>
                <w:rFonts w:hint="eastAsia"/>
                <w:spacing w:val="-14"/>
                <w:lang w:eastAsia="zh-CN"/>
              </w:rPr>
              <w:t>有充足的后备译员（不少于1</w:t>
            </w:r>
            <w:r>
              <w:rPr>
                <w:spacing w:val="-14"/>
                <w:lang w:eastAsia="zh-CN"/>
              </w:rPr>
              <w:t>0</w:t>
            </w:r>
            <w:r>
              <w:rPr>
                <w:rFonts w:hint="eastAsia"/>
                <w:spacing w:val="-14"/>
                <w:lang w:eastAsia="zh-CN"/>
              </w:rPr>
              <w:t>人），可随时响应项目需求；</w:t>
            </w:r>
          </w:p>
          <w:p>
            <w:pPr>
              <w:pStyle w:val="3"/>
              <w:autoSpaceDE/>
              <w:autoSpaceDN/>
              <w:spacing w:line="276" w:lineRule="auto"/>
              <w:ind w:right="303"/>
              <w:jc w:val="both"/>
              <w:rPr>
                <w:spacing w:val="-14"/>
                <w:lang w:eastAsia="zh-CN"/>
              </w:rPr>
            </w:pPr>
            <w:r>
              <w:rPr>
                <w:rFonts w:hint="eastAsia"/>
                <w:spacing w:val="-14"/>
                <w:lang w:eastAsia="zh-CN"/>
              </w:rPr>
              <w:t>有完善可行的应急处理机制及执行团队，可实现7*2</w:t>
            </w:r>
            <w:r>
              <w:rPr>
                <w:spacing w:val="-14"/>
                <w:lang w:eastAsia="zh-CN"/>
              </w:rPr>
              <w:t>4</w:t>
            </w:r>
            <w:r>
              <w:rPr>
                <w:rFonts w:hint="eastAsia"/>
                <w:spacing w:val="-14"/>
                <w:lang w:eastAsia="zh-CN"/>
              </w:rPr>
              <w:t>小时响应</w:t>
            </w:r>
          </w:p>
          <w:p>
            <w:pPr>
              <w:pStyle w:val="3"/>
              <w:autoSpaceDE/>
              <w:autoSpaceDN/>
              <w:spacing w:line="276" w:lineRule="auto"/>
              <w:ind w:right="303"/>
              <w:jc w:val="both"/>
              <w:rPr>
                <w:spacing w:val="-14"/>
                <w:lang w:eastAsia="zh-CN"/>
              </w:rPr>
            </w:pPr>
            <w:r>
              <w:rPr>
                <w:rFonts w:hint="eastAsia"/>
                <w:b/>
                <w:bCs/>
                <w:spacing w:val="-14"/>
                <w:lang w:eastAsia="zh-CN"/>
              </w:rPr>
              <w:t>质量标准：</w:t>
            </w:r>
            <w:r>
              <w:rPr>
                <w:rFonts w:hint="eastAsia"/>
                <w:spacing w:val="-14"/>
                <w:lang w:eastAsia="zh-CN"/>
              </w:rPr>
              <w:t>执行</w:t>
            </w:r>
            <w:r>
              <w:rPr>
                <w:spacing w:val="-14"/>
                <w:lang w:eastAsia="zh-CN"/>
              </w:rPr>
              <w:t>《翻译服务规范</w:t>
            </w:r>
            <w:r>
              <w:rPr>
                <w:rFonts w:hint="eastAsia"/>
                <w:spacing w:val="-14"/>
                <w:lang w:eastAsia="zh-CN"/>
              </w:rPr>
              <w:t>第1部分：笔译》</w:t>
            </w:r>
            <w:r>
              <w:rPr>
                <w:spacing w:val="-14"/>
                <w:lang w:eastAsia="zh-CN"/>
              </w:rPr>
              <w:t>GB/T19363.1-2008》</w:t>
            </w:r>
            <w:r>
              <w:rPr>
                <w:rFonts w:hint="eastAsia"/>
                <w:spacing w:val="-14"/>
                <w:lang w:eastAsia="zh-CN"/>
              </w:rPr>
              <w:t>和《翻译服务译文质量要求》</w:t>
            </w:r>
          </w:p>
          <w:p>
            <w:pPr>
              <w:pStyle w:val="3"/>
              <w:autoSpaceDE/>
              <w:autoSpaceDN/>
              <w:spacing w:line="276" w:lineRule="auto"/>
              <w:ind w:right="303"/>
              <w:jc w:val="both"/>
              <w:rPr>
                <w:b/>
                <w:bCs/>
                <w:spacing w:val="-14"/>
                <w:lang w:eastAsia="zh-CN"/>
              </w:rPr>
            </w:pPr>
            <w:r>
              <w:rPr>
                <w:rFonts w:hint="eastAsia"/>
                <w:b/>
                <w:bCs/>
                <w:spacing w:val="-14"/>
                <w:lang w:eastAsia="zh-CN"/>
              </w:rPr>
              <w:t>时间标准</w:t>
            </w:r>
          </w:p>
          <w:p>
            <w:pPr>
              <w:pStyle w:val="3"/>
              <w:autoSpaceDE/>
              <w:autoSpaceDN/>
              <w:spacing w:line="276" w:lineRule="auto"/>
              <w:ind w:right="303"/>
              <w:jc w:val="both"/>
              <w:rPr>
                <w:spacing w:val="-14"/>
                <w:lang w:eastAsia="zh-CN"/>
              </w:rPr>
            </w:pPr>
            <w:r>
              <w:rPr>
                <w:rFonts w:hint="eastAsia"/>
                <w:spacing w:val="-14"/>
                <w:lang w:eastAsia="zh-CN"/>
              </w:rPr>
              <w:t>自收到委托之日起，</w:t>
            </w:r>
            <w:r>
              <w:rPr>
                <w:spacing w:val="-14"/>
                <w:lang w:eastAsia="zh-CN"/>
              </w:rPr>
              <w:t>3</w:t>
            </w:r>
            <w:r>
              <w:rPr>
                <w:rFonts w:hint="eastAsia"/>
                <w:spacing w:val="-14"/>
                <w:lang w:eastAsia="zh-CN"/>
              </w:rPr>
              <w:t>个工作日提交项目初稿；</w:t>
            </w:r>
            <w:r>
              <w:rPr>
                <w:spacing w:val="-14"/>
                <w:lang w:eastAsia="zh-CN"/>
              </w:rPr>
              <w:t>5</w:t>
            </w:r>
            <w:r>
              <w:rPr>
                <w:rFonts w:hint="eastAsia"/>
                <w:spacing w:val="-14"/>
                <w:lang w:eastAsia="zh-CN"/>
              </w:rPr>
              <w:t>个工作日提交项目终稿</w:t>
            </w:r>
          </w:p>
          <w:p>
            <w:pPr>
              <w:pStyle w:val="3"/>
              <w:autoSpaceDE/>
              <w:autoSpaceDN/>
              <w:spacing w:line="276" w:lineRule="auto"/>
              <w:ind w:right="303"/>
              <w:jc w:val="both"/>
              <w:rPr>
                <w:color w:val="000000"/>
                <w:lang w:eastAsia="zh-CN" w:bidi="zh-CN"/>
              </w:rPr>
            </w:pPr>
            <w:r>
              <w:rPr>
                <w:rFonts w:hint="eastAsia"/>
                <w:b/>
                <w:bCs/>
                <w:spacing w:val="-14"/>
                <w:lang w:eastAsia="zh-CN"/>
              </w:rPr>
              <w:t>交稿方式：</w:t>
            </w:r>
            <w:r>
              <w:rPr>
                <w:rFonts w:hint="eastAsia"/>
                <w:spacing w:val="-14"/>
                <w:lang w:eastAsia="zh-CN"/>
              </w:rPr>
              <w:t>通过邮件形式提交笔译文件，对所提交的文件进行保密，如果必要需签订保密协议；</w:t>
            </w:r>
          </w:p>
        </w:tc>
        <w:tc>
          <w:tcPr>
            <w:tcW w:w="1841" w:type="dxa"/>
            <w:tcBorders>
              <w:top w:val="single" w:color="auto" w:sz="4" w:space="0"/>
              <w:left w:val="nil"/>
              <w:right w:val="single" w:color="auto" w:sz="4" w:space="0"/>
            </w:tcBorders>
            <w:tcMar>
              <w:top w:w="13" w:type="dxa"/>
              <w:left w:w="57" w:type="dxa"/>
              <w:bottom w:w="0" w:type="dxa"/>
              <w:right w:w="57" w:type="dxa"/>
            </w:tcMar>
            <w:vAlign w:val="center"/>
          </w:tcPr>
          <w:p>
            <w:pPr>
              <w:pStyle w:val="3"/>
              <w:autoSpaceDE/>
              <w:autoSpaceDN/>
              <w:spacing w:line="276" w:lineRule="auto"/>
              <w:ind w:right="303"/>
              <w:jc w:val="both"/>
              <w:rPr>
                <w:spacing w:val="-14"/>
                <w:lang w:eastAsia="zh-CN"/>
              </w:rPr>
            </w:pPr>
            <w:r>
              <w:rPr>
                <w:rFonts w:hint="eastAsia"/>
                <w:spacing w:val="-14"/>
                <w:lang w:eastAsia="zh-CN"/>
              </w:rPr>
              <w:t>千中文字符数（不计空格）</w:t>
            </w:r>
          </w:p>
        </w:tc>
        <w:tc>
          <w:tcPr>
            <w:tcW w:w="2010" w:type="dxa"/>
            <w:tcBorders>
              <w:top w:val="single" w:color="auto" w:sz="4" w:space="0"/>
              <w:left w:val="nil"/>
              <w:right w:val="single" w:color="auto" w:sz="4" w:space="0"/>
            </w:tcBorders>
            <w:vAlign w:val="center"/>
          </w:tcPr>
          <w:p>
            <w:pPr>
              <w:pStyle w:val="3"/>
              <w:autoSpaceDE/>
              <w:autoSpaceDN/>
              <w:spacing w:line="276" w:lineRule="auto"/>
              <w:ind w:right="303"/>
              <w:jc w:val="center"/>
              <w:rPr>
                <w:spacing w:val="-14"/>
                <w:lang w:eastAsia="zh-CN"/>
              </w:rPr>
            </w:pPr>
            <w:r>
              <w:rPr>
                <w:rFonts w:hint="eastAsia"/>
                <w:color w:val="000000"/>
                <w:lang w:bidi="zh-CN"/>
              </w:rPr>
              <w:t>7</w:t>
            </w:r>
            <w:r>
              <w:rPr>
                <w:color w:val="000000"/>
                <w:lang w:bidi="zh-CN"/>
              </w:rPr>
              <w:t>5</w:t>
            </w:r>
            <w:r>
              <w:rPr>
                <w:rFonts w:hint="eastAsia"/>
                <w:color w:val="000000"/>
                <w:lang w:bidi="zh-CN"/>
              </w:rPr>
              <w:t>千字</w:t>
            </w:r>
          </w:p>
        </w:tc>
      </w:tr>
      <w:tr>
        <w:tblPrEx>
          <w:tblLayout w:type="fixed"/>
          <w:tblCellMar>
            <w:top w:w="0" w:type="dxa"/>
            <w:left w:w="0" w:type="dxa"/>
            <w:bottom w:w="0" w:type="dxa"/>
            <w:right w:w="0" w:type="dxa"/>
          </w:tblCellMar>
        </w:tblPrEx>
        <w:trPr>
          <w:trHeight w:val="3655" w:hRule="atLeast"/>
        </w:trPr>
        <w:tc>
          <w:tcPr>
            <w:tcW w:w="3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pStyle w:val="14"/>
              <w:widowControl/>
              <w:ind w:firstLine="0" w:firstLineChars="0"/>
              <w:textAlignment w:val="center"/>
              <w:rPr>
                <w:rFonts w:ascii="宋体" w:hAnsi="宋体" w:cs="宋体"/>
                <w:color w:val="000000"/>
                <w:kern w:val="0"/>
                <w:lang w:bidi="zh-CN"/>
              </w:rPr>
            </w:pPr>
            <w:r>
              <w:rPr>
                <w:rFonts w:hint="eastAsia" w:ascii="宋体" w:hAnsi="宋体" w:cs="宋体"/>
                <w:color w:val="000000"/>
                <w:kern w:val="0"/>
                <w:lang w:bidi="zh-CN"/>
              </w:rPr>
              <w:t>2</w:t>
            </w:r>
          </w:p>
        </w:tc>
        <w:tc>
          <w:tcPr>
            <w:tcW w:w="61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widowControl/>
              <w:jc w:val="center"/>
              <w:textAlignment w:val="center"/>
              <w:rPr>
                <w:rFonts w:ascii="宋体" w:hAnsi="宋体" w:cs="宋体"/>
                <w:color w:val="000000"/>
                <w:kern w:val="0"/>
                <w:lang w:bidi="zh-CN"/>
              </w:rPr>
            </w:pPr>
            <w:r>
              <w:rPr>
                <w:rFonts w:hint="eastAsia" w:ascii="宋体" w:hAnsi="宋体" w:cs="宋体"/>
                <w:color w:val="000000"/>
                <w:kern w:val="0"/>
                <w:lang w:bidi="zh-CN"/>
              </w:rPr>
              <w:t>课程影视频上字幕+配音+后期制作</w:t>
            </w:r>
          </w:p>
        </w:tc>
        <w:tc>
          <w:tcPr>
            <w:tcW w:w="10362"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tabs>
                <w:tab w:val="left" w:pos="1234"/>
              </w:tabs>
              <w:rPr>
                <w:rFonts w:ascii="宋体" w:hAnsi="宋体" w:eastAsia="宋体" w:cs="宋体"/>
                <w:spacing w:val="-14"/>
                <w:kern w:val="0"/>
                <w:szCs w:val="21"/>
              </w:rPr>
            </w:pPr>
            <w:r>
              <w:rPr>
                <w:rFonts w:hint="eastAsia" w:ascii="宋体" w:hAnsi="宋体" w:eastAsia="宋体" w:cs="宋体"/>
                <w:b/>
                <w:bCs/>
                <w:spacing w:val="-14"/>
                <w:kern w:val="0"/>
                <w:szCs w:val="21"/>
              </w:rPr>
              <w:t>图像质量要求：</w:t>
            </w:r>
            <w:r>
              <w:rPr>
                <w:rFonts w:hint="eastAsia" w:ascii="宋体" w:hAnsi="宋体" w:eastAsia="宋体" w:cs="宋体"/>
                <w:spacing w:val="-14"/>
                <w:kern w:val="0"/>
                <w:szCs w:val="21"/>
              </w:rPr>
              <w:t>画面中无花帧，坏帧，夹帧，马赛克等；画面流畅，不卡顿（比如：每隔几帧出现一个静帧，就会使画面卡顿）；画面无模糊，重影。画面不能有黑边，和边缘闪烁、抖动等。</w:t>
            </w:r>
          </w:p>
          <w:p>
            <w:pPr>
              <w:pStyle w:val="3"/>
              <w:autoSpaceDE/>
              <w:autoSpaceDN/>
              <w:spacing w:line="276" w:lineRule="auto"/>
              <w:ind w:right="303"/>
              <w:jc w:val="both"/>
              <w:rPr>
                <w:spacing w:val="-14"/>
                <w:lang w:eastAsia="zh-CN"/>
              </w:rPr>
            </w:pPr>
            <w:r>
              <w:rPr>
                <w:rFonts w:hint="eastAsia"/>
                <w:spacing w:val="-14"/>
                <w:lang w:eastAsia="zh-CN"/>
              </w:rPr>
              <w:t>图像画面清晰，觉察不到明显信号噪声，无与节目内容无关的跳动、闪动或马赛克等异常失真现象。图像的明暗层次应与节目内容相对应。</w:t>
            </w:r>
          </w:p>
          <w:p>
            <w:pPr>
              <w:jc w:val="left"/>
              <w:rPr>
                <w:rFonts w:ascii="宋体" w:hAnsi="宋体" w:eastAsia="宋体"/>
                <w:bCs/>
                <w:szCs w:val="21"/>
              </w:rPr>
            </w:pPr>
            <w:r>
              <w:rPr>
                <w:rFonts w:hint="eastAsia" w:ascii="宋体" w:hAnsi="宋体" w:eastAsia="宋体"/>
                <w:b/>
                <w:szCs w:val="21"/>
              </w:rPr>
              <w:t>声音:</w:t>
            </w:r>
            <w:r>
              <w:rPr>
                <w:rFonts w:hint="eastAsia" w:ascii="宋体" w:hAnsi="宋体" w:eastAsia="宋体" w:cs="宋体"/>
                <w:spacing w:val="-14"/>
                <w:kern w:val="0"/>
                <w:szCs w:val="21"/>
              </w:rPr>
              <w:t>全片声音制作规范，避免出现立体声反相、音比不一、单声道等问题；全片声音比例合适（例如：音乐不可压过解说声）；</w:t>
            </w:r>
            <w:r>
              <w:rPr>
                <w:rFonts w:hint="eastAsia" w:ascii="宋体" w:hAnsi="宋体" w:eastAsia="宋体"/>
                <w:bCs/>
                <w:szCs w:val="21"/>
              </w:rPr>
              <w:t>片中的同期环境声需连续，不可以忽有忽无，忽大忽小，需平滑过渡</w:t>
            </w:r>
          </w:p>
          <w:p>
            <w:pPr>
              <w:jc w:val="left"/>
              <w:rPr>
                <w:rFonts w:ascii="宋体" w:hAnsi="宋体" w:cs="宋体"/>
                <w:color w:val="000000"/>
                <w:kern w:val="0"/>
                <w:lang w:bidi="zh-CN"/>
              </w:rPr>
            </w:pPr>
            <w:r>
              <w:rPr>
                <w:rFonts w:hint="eastAsia" w:ascii="宋体" w:hAnsi="宋体" w:eastAsia="宋体"/>
                <w:b/>
                <w:szCs w:val="21"/>
              </w:rPr>
              <w:t>音频方面：</w:t>
            </w:r>
            <w:r>
              <w:rPr>
                <w:rFonts w:hint="eastAsia" w:ascii="宋体" w:hAnsi="宋体" w:eastAsia="宋体"/>
                <w:color w:val="000000" w:themeColor="text1"/>
                <w14:textFill>
                  <w14:solidFill>
                    <w14:schemeClr w14:val="tx1"/>
                  </w14:solidFill>
                </w14:textFill>
              </w:rPr>
              <w:t>目前节目均为高清制作，包含4条音轨。前两轨混合声，后两轨国际声。需要检查所有音轨是否均为立体声。需要检查全片是否为英语语种，如包含小语种同期声，需要确认是否片中有单独的小语种同期音轨或分轨音频文件。</w:t>
            </w:r>
          </w:p>
        </w:tc>
        <w:tc>
          <w:tcPr>
            <w:tcW w:w="1841"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pStyle w:val="3"/>
              <w:autoSpaceDE/>
              <w:autoSpaceDN/>
              <w:spacing w:line="276" w:lineRule="auto"/>
              <w:ind w:right="303"/>
              <w:jc w:val="both"/>
              <w:rPr>
                <w:spacing w:val="-14"/>
                <w:lang w:eastAsia="zh-CN"/>
              </w:rPr>
            </w:pPr>
            <w:r>
              <w:rPr>
                <w:rFonts w:hint="eastAsia"/>
                <w:spacing w:val="-14"/>
                <w:lang w:eastAsia="zh-CN"/>
              </w:rPr>
              <w:t>分钟</w:t>
            </w:r>
          </w:p>
        </w:tc>
        <w:tc>
          <w:tcPr>
            <w:tcW w:w="201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lang w:bidi="zh-CN"/>
              </w:rPr>
            </w:pPr>
            <w:r>
              <w:rPr>
                <w:rFonts w:hint="eastAsia" w:ascii="宋体" w:hAnsi="宋体" w:cs="宋体"/>
                <w:color w:val="000000"/>
                <w:kern w:val="0"/>
                <w:lang w:bidi="zh-CN"/>
              </w:rPr>
              <w:t>3</w:t>
            </w:r>
            <w:bookmarkStart w:id="0" w:name="_GoBack"/>
            <w:r>
              <w:rPr>
                <w:rFonts w:hint="eastAsia" w:ascii="宋体" w:hAnsi="宋体" w:cs="宋体"/>
                <w:color w:val="000000"/>
                <w:kern w:val="0"/>
                <w:lang w:bidi="zh-CN"/>
              </w:rPr>
              <w:t>00</w:t>
            </w:r>
            <w:bookmarkEnd w:id="0"/>
          </w:p>
        </w:tc>
      </w:tr>
    </w:tbl>
    <w:tbl>
      <w:tblPr>
        <w:tblStyle w:val="7"/>
        <w:tblW w:w="15135" w:type="dxa"/>
        <w:tblInd w:w="-56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92"/>
        <w:gridCol w:w="120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5135" w:type="dxa"/>
            <w:gridSpan w:val="2"/>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cs="仿宋_GB2312" w:asciiTheme="minorEastAsia" w:hAnsiTheme="minorEastAsia"/>
                <w:b/>
                <w:szCs w:val="21"/>
              </w:rPr>
            </w:pPr>
            <w:r>
              <w:rPr>
                <w:rFonts w:hint="eastAsia" w:cs="仿宋_GB2312" w:asciiTheme="minorEastAsia" w:hAnsiTheme="minorEastAsia"/>
                <w:b/>
                <w:szCs w:val="21"/>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3092"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textAlignment w:val="baseline"/>
              <w:rPr>
                <w:rFonts w:asciiTheme="minorEastAsia" w:hAnsiTheme="minorEastAsia"/>
                <w:bCs/>
                <w:szCs w:val="21"/>
              </w:rPr>
            </w:pPr>
            <w:r>
              <w:rPr>
                <w:rFonts w:hint="eastAsia" w:ascii="宋体" w:hAnsi="宋体"/>
                <w:b/>
              </w:rPr>
              <w:t>★</w:t>
            </w:r>
            <w:r>
              <w:rPr>
                <w:rFonts w:hint="eastAsia" w:ascii="宋体" w:hAnsi="宋体"/>
              </w:rPr>
              <w:t>质保期</w:t>
            </w:r>
          </w:p>
        </w:tc>
        <w:tc>
          <w:tcPr>
            <w:tcW w:w="12043"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textAlignment w:val="baseline"/>
              <w:rPr>
                <w:rFonts w:cs="Courier New" w:asciiTheme="minorEastAsia" w:hAnsiTheme="minorEastAsia"/>
                <w:color w:val="000000" w:themeColor="text1"/>
                <w:kern w:val="0"/>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质保期不少于</w:t>
            </w:r>
            <w:r>
              <w:rPr>
                <w:rFonts w:asciiTheme="minorEastAsia" w:hAnsiTheme="minorEastAsia"/>
                <w:color w:val="000000" w:themeColor="text1"/>
                <w:szCs w:val="21"/>
                <w:highlight w:val="none"/>
                <w14:textFill>
                  <w14:solidFill>
                    <w14:schemeClr w14:val="tx1"/>
                  </w14:solidFill>
                </w14:textFill>
              </w:rPr>
              <w:t>3</w:t>
            </w:r>
            <w:r>
              <w:rPr>
                <w:rFonts w:hint="eastAsia" w:asciiTheme="minorEastAsia" w:hAnsiTheme="minorEastAsia"/>
                <w:color w:val="000000" w:themeColor="text1"/>
                <w:szCs w:val="21"/>
                <w:highlight w:val="none"/>
                <w14:textFill>
                  <w14:solidFill>
                    <w14:schemeClr w14:val="tx1"/>
                  </w14:solidFill>
                </w14:textFill>
              </w:rPr>
              <w:t>个月，自项目验收合格之日起计算。在质保期内需提供校对、修改等质保服务。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3092"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rPr>
              <w:t>售后及技术服务要求</w:t>
            </w:r>
          </w:p>
        </w:tc>
        <w:tc>
          <w:tcPr>
            <w:tcW w:w="120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w:t>
            </w:r>
            <w:r>
              <w:rPr>
                <w:rFonts w:hint="eastAsia" w:asciiTheme="minorEastAsia" w:hAnsiTheme="minorEastAsia"/>
                <w:bCs/>
                <w:color w:val="000000" w:themeColor="text1"/>
                <w:szCs w:val="21"/>
                <w:highlight w:val="none"/>
                <w14:textFill>
                  <w14:solidFill>
                    <w14:schemeClr w14:val="tx1"/>
                  </w14:solidFill>
                </w14:textFill>
              </w:rPr>
              <w:t>1、成交供应商必须根据本项目的采购需求进行有针对性的人员组织安排，提出确保工期方案，工作成果满足相关行业标准级采购人校级课程建设相应标准。</w:t>
            </w:r>
          </w:p>
          <w:p>
            <w:pPr>
              <w:wordWrap w:val="0"/>
              <w:spacing w:line="400" w:lineRule="exact"/>
              <w:textAlignment w:val="baseline"/>
              <w:rPr>
                <w:rFonts w:cs="宋体" w:asciiTheme="minorEastAsia" w:hAnsiTheme="minorEastAsia"/>
                <w:color w:val="000000" w:themeColor="text1"/>
                <w:kern w:val="1"/>
                <w:szCs w:val="21"/>
                <w:highlight w:val="none"/>
                <w14:textFill>
                  <w14:solidFill>
                    <w14:schemeClr w14:val="tx1"/>
                  </w14:solidFill>
                </w14:textFill>
              </w:rPr>
            </w:pPr>
            <w:r>
              <w:rPr>
                <w:rFonts w:cs="宋体" w:asciiTheme="minorEastAsia" w:hAnsiTheme="minorEastAsia"/>
                <w:color w:val="000000" w:themeColor="text1"/>
                <w:kern w:val="1"/>
                <w:szCs w:val="21"/>
                <w:highlight w:val="none"/>
                <w14:textFill>
                  <w14:solidFill>
                    <w14:schemeClr w14:val="tx1"/>
                  </w14:solidFill>
                </w14:textFill>
              </w:rPr>
              <w:t>2</w:t>
            </w:r>
            <w:r>
              <w:rPr>
                <w:rFonts w:hint="eastAsia" w:cs="宋体" w:asciiTheme="minorEastAsia" w:hAnsiTheme="minorEastAsia"/>
                <w:color w:val="000000" w:themeColor="text1"/>
                <w:kern w:val="1"/>
                <w:szCs w:val="21"/>
                <w:highlight w:val="none"/>
                <w14:textFill>
                  <w14:solidFill>
                    <w14:schemeClr w14:val="tx1"/>
                  </w14:solidFill>
                </w14:textFill>
              </w:rPr>
              <w:t>、成交人必须保证有足够的人员负责本项目所涉及各项服务及售后技术支持工作，并保证按采购人指定的方式提供7×24小时免费电话技术支持，包括邮件、电话等方式。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3092"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b/>
              </w:rPr>
              <w:t>★</w:t>
            </w:r>
            <w:r>
              <w:rPr>
                <w:rFonts w:hint="eastAsia" w:ascii="宋体" w:hAnsi="宋体"/>
              </w:rPr>
              <w:t>交付使用时间及地点</w:t>
            </w:r>
          </w:p>
        </w:tc>
        <w:tc>
          <w:tcPr>
            <w:tcW w:w="1204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交付使用时间：自签订合同之日起至2022年5月20日前根据采购人实际拍摄需求提供服务及交付。</w:t>
            </w:r>
          </w:p>
          <w:p>
            <w:pPr>
              <w:spacing w:line="400" w:lineRule="exact"/>
              <w:rPr>
                <w:rFonts w:cs="宋体" w:asciiTheme="minorEastAsia" w:hAnsiTheme="minorEastAsia"/>
                <w:color w:val="000000" w:themeColor="text1"/>
                <w:kern w:val="1"/>
                <w:szCs w:val="21"/>
                <w14:textFill>
                  <w14:solidFill>
                    <w14:schemeClr w14:val="tx1"/>
                  </w14:solidFill>
                </w14:textFill>
              </w:rPr>
            </w:pPr>
            <w:r>
              <w:rPr>
                <w:rFonts w:hint="eastAsia" w:ascii="宋体" w:hAnsi="宋体"/>
                <w:color w:val="000000" w:themeColor="text1"/>
                <w14:textFill>
                  <w14:solidFill>
                    <w14:schemeClr w14:val="tx1"/>
                  </w14:solidFill>
                </w14:textFill>
              </w:rPr>
              <w:t>交货地点：广西区内采购人指定地点。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3092"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rPr>
              <w:t>付款条件</w:t>
            </w:r>
          </w:p>
        </w:tc>
        <w:tc>
          <w:tcPr>
            <w:tcW w:w="12043"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color w:val="000000" w:themeColor="text1"/>
                <w:kern w:val="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项目完成</w:t>
            </w:r>
            <w:r>
              <w:rPr>
                <w:rFonts w:hint="eastAsia" w:asciiTheme="minorEastAsia" w:hAnsiTheme="minorEastAsia"/>
                <w:color w:val="000000" w:themeColor="text1"/>
                <w:szCs w:val="21"/>
                <w14:textFill>
                  <w14:solidFill>
                    <w14:schemeClr w14:val="tx1"/>
                  </w14:solidFill>
                </w14:textFill>
              </w:rPr>
              <w:t>（含培训）并验收合格后，采购人</w:t>
            </w:r>
            <w:r>
              <w:rPr>
                <w:rFonts w:hint="eastAsia" w:cs="宋体" w:asciiTheme="minorEastAsia" w:hAnsiTheme="minorEastAsia"/>
                <w:color w:val="000000" w:themeColor="text1"/>
                <w:szCs w:val="21"/>
                <w14:textFill>
                  <w14:solidFill>
                    <w14:schemeClr w14:val="tx1"/>
                  </w14:solidFill>
                </w14:textFill>
              </w:rPr>
              <w:t>一次性支付合同金额100%的项目款。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3092"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kern w:val="1"/>
                <w:szCs w:val="21"/>
              </w:rPr>
            </w:pPr>
            <w:r>
              <w:rPr>
                <w:rFonts w:hint="eastAsia" w:ascii="宋体" w:hAnsi="宋体"/>
                <w:b/>
              </w:rPr>
              <w:t>★</w:t>
            </w:r>
            <w:r>
              <w:rPr>
                <w:rFonts w:hint="eastAsia" w:ascii="宋体" w:hAnsi="宋体"/>
              </w:rPr>
              <w:t>报价要求</w:t>
            </w:r>
          </w:p>
        </w:tc>
        <w:tc>
          <w:tcPr>
            <w:tcW w:w="1204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竞标报价为采购人指定的线上交货价，包括（但不限于）：</w:t>
            </w:r>
          </w:p>
          <w:p>
            <w:pPr>
              <w:spacing w:line="40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1、服务的价格：包括P</w:t>
            </w:r>
            <w:r>
              <w:rPr>
                <w:rFonts w:ascii="宋体" w:hAnsi="宋体"/>
                <w:color w:val="000000" w:themeColor="text1"/>
                <w:highlight w:val="none"/>
                <w14:textFill>
                  <w14:solidFill>
                    <w14:schemeClr w14:val="tx1"/>
                  </w14:solidFill>
                </w14:textFill>
              </w:rPr>
              <w:t>PT</w:t>
            </w:r>
            <w:r>
              <w:rPr>
                <w:rFonts w:hint="eastAsia" w:ascii="宋体" w:hAnsi="宋体"/>
                <w:color w:val="000000" w:themeColor="text1"/>
                <w:highlight w:val="none"/>
                <w14:textFill>
                  <w14:solidFill>
                    <w14:schemeClr w14:val="tx1"/>
                  </w14:solidFill>
                </w14:textFill>
              </w:rPr>
              <w:t>文件翻译费、视频旁白配音、配旁白字幕、音画合成费；</w:t>
            </w:r>
          </w:p>
          <w:p>
            <w:pPr>
              <w:spacing w:line="40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2、服务的标准附件、专用工具的价格。</w:t>
            </w:r>
          </w:p>
          <w:p>
            <w:pPr>
              <w:spacing w:line="40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3、招标代理服务费和各项税金</w:t>
            </w:r>
          </w:p>
          <w:p>
            <w:pPr>
              <w:wordWrap w:val="0"/>
              <w:spacing w:line="400" w:lineRule="exact"/>
              <w:textAlignment w:val="baseline"/>
              <w:rPr>
                <w:rFonts w:cs="宋体" w:asciiTheme="minorEastAsia" w:hAnsiTheme="minorEastAsia"/>
                <w:color w:val="000000" w:themeColor="text1"/>
                <w:kern w:val="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注：供应商自行考虑完成项目所需的各项材料，竞标报价中应包含完成本次项目全部内容，成交后采购人不再另行支付额外费用。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5135" w:type="dxa"/>
            <w:gridSpan w:val="2"/>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asciiTheme="minorEastAsia" w:hAnsiTheme="minorEastAsia"/>
                <w:b/>
                <w:szCs w:val="21"/>
              </w:rPr>
            </w:pPr>
            <w:r>
              <w:rPr>
                <w:rFonts w:hint="eastAsia" w:asciiTheme="minorEastAsia" w:hAnsiTheme="minorEastAsia"/>
                <w:b/>
                <w:szCs w:val="21"/>
              </w:rPr>
              <w:t>三、采购人对项目的特殊要求及说明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5135" w:type="dxa"/>
            <w:gridSpan w:val="2"/>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420" w:firstLineChars="200"/>
              <w:jc w:val="left"/>
              <w:textAlignment w:val="baseline"/>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、本项目中注“★”号的条款为实质性条款，必须满足，否则投标无效。</w:t>
            </w:r>
          </w:p>
          <w:p>
            <w:pPr>
              <w:wordWrap w:val="0"/>
              <w:spacing w:line="400" w:lineRule="exact"/>
              <w:ind w:firstLine="420" w:firstLineChars="200"/>
              <w:jc w:val="left"/>
              <w:textAlignment w:val="baseline"/>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、其他要求：</w:t>
            </w:r>
          </w:p>
          <w:p>
            <w:pPr>
              <w:spacing w:line="300" w:lineRule="exact"/>
              <w:ind w:firstLine="420" w:firstLineChars="200"/>
              <w:rPr>
                <w:rFonts w:asciiTheme="minorEastAsia" w:hAnsiTheme="minorEastAsia"/>
                <w:szCs w:val="21"/>
              </w:rPr>
            </w:pPr>
            <w:r>
              <w:rPr>
                <w:rFonts w:hint="eastAsia" w:asciiTheme="minorEastAsia" w:hAnsiTheme="minorEastAsia"/>
                <w:szCs w:val="21"/>
              </w:rPr>
              <w:t>（1）供应商应按照国家有关法律法规以及采购文件规定的服务内容、技术要求、质量标准和供应商响应文件及其承诺为采购人提供技术服务。供应商提供不符合采购文件规定的技术服务，采购人有权拒绝接受。</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（2）供应商向采购人提供无瑕疵的技术服务，并对项目质量负责。</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3）★本项目采购的服务成果知识产权归采购人所有。成交人应保证针对本项目的各类资源素材涉及到的知识产权和所提供的相关技术资料是合法取得，不会因为采购人的使用而被责令停止使用、追偿或要求赔偿损失，如出现此情况，一切经济和法律责任均由供应商承担。</w:t>
            </w:r>
          </w:p>
          <w:p>
            <w:pPr>
              <w:wordWrap w:val="0"/>
              <w:spacing w:line="400" w:lineRule="exact"/>
              <w:ind w:firstLine="420" w:firstLineChars="200"/>
              <w:jc w:val="left"/>
              <w:textAlignment w:val="baseline"/>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、采购标的验收标准</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1、验收标准</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教学资源制作服务应按采购文件、响应文件要求进行验收，项目成果应达到课堂教学比赛及</w:t>
            </w:r>
            <w:r>
              <w:rPr>
                <w:rFonts w:hint="eastAsia" w:asciiTheme="minorEastAsia" w:hAnsiTheme="minorEastAsia"/>
                <w:bCs/>
                <w:szCs w:val="21"/>
              </w:rPr>
              <w:t>采购人校级课程建设标准</w:t>
            </w:r>
            <w:r>
              <w:rPr>
                <w:rFonts w:hint="eastAsia" w:asciiTheme="minorEastAsia" w:hAnsiTheme="minorEastAsia"/>
                <w:szCs w:val="21"/>
              </w:rPr>
              <w:t>。所有制作的教学资源应具有自主知识产权，该产权验收合格后归采购人所有，不会因为采购人的使用而被责令停止使用、追偿或要求赔偿损失，如出现此情况，一切经济和法律责任均由供应商承担。</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2、验收程序和方法</w:t>
            </w:r>
          </w:p>
          <w:p>
            <w:pPr>
              <w:wordWrap w:val="0"/>
              <w:spacing w:line="400" w:lineRule="exact"/>
              <w:ind w:firstLine="420" w:firstLineChars="200"/>
              <w:jc w:val="left"/>
              <w:textAlignment w:val="baseline"/>
              <w:rPr>
                <w:rFonts w:asciiTheme="minorEastAsia" w:hAnsiTheme="minorEastAsia"/>
                <w:szCs w:val="21"/>
              </w:rPr>
            </w:pPr>
            <w:r>
              <w:rPr>
                <w:rFonts w:hint="eastAsia" w:asciiTheme="minorEastAsia" w:hAnsiTheme="minorEastAsia"/>
                <w:szCs w:val="21"/>
              </w:rPr>
              <w:t>成交的教学资源制作服务应在验收前先进行自检并提供相应的自检记录。所提供的教学资源应有相应的技术人员对采购人进行培训，确保在验收结束前，采购人已能较熟练使用本项目相关资源。</w:t>
            </w:r>
          </w:p>
          <w:p>
            <w:pPr>
              <w:wordWrap w:val="0"/>
              <w:spacing w:line="400" w:lineRule="exact"/>
              <w:ind w:firstLine="420" w:firstLineChars="200"/>
              <w:textAlignment w:val="baseline"/>
              <w:rPr>
                <w:rFonts w:asciiTheme="minorEastAsia" w:hAnsiTheme="minorEastAsia"/>
                <w:b/>
                <w:szCs w:val="21"/>
              </w:rPr>
            </w:pPr>
            <w:r>
              <w:rPr>
                <w:rFonts w:hint="eastAsia" w:asciiTheme="minorEastAsia" w:hAnsiTheme="minorEastAsia"/>
                <w:szCs w:val="21"/>
              </w:rPr>
              <w:t>3、验收所发生的一切费用均由成交供应商承担。</w:t>
            </w:r>
          </w:p>
        </w:tc>
      </w:tr>
    </w:tbl>
    <w:p>
      <w:pPr>
        <w:widowControl/>
        <w:rPr>
          <w:rFonts w:ascii="宋体" w:hAnsi="宋体" w:cs="宋体"/>
          <w:b/>
          <w:color w:val="000000"/>
          <w:kern w:val="0"/>
          <w:szCs w:val="21"/>
        </w:rPr>
      </w:pPr>
    </w:p>
    <w:p>
      <w:pPr>
        <w:widowControl/>
        <w:rPr>
          <w:rFonts w:ascii="宋体" w:hAnsi="宋体" w:cs="宋体"/>
          <w:b/>
          <w:color w:val="000000"/>
          <w:kern w:val="0"/>
          <w:szCs w:val="21"/>
        </w:rPr>
      </w:pPr>
    </w:p>
    <w:sectPr>
      <w:pgSz w:w="16838" w:h="11906" w:orient="landscape"/>
      <w:pgMar w:top="760" w:right="1440" w:bottom="65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33"/>
    <w:rsid w:val="00040E67"/>
    <w:rsid w:val="00122F1A"/>
    <w:rsid w:val="001E1AB9"/>
    <w:rsid w:val="00226D61"/>
    <w:rsid w:val="002D6060"/>
    <w:rsid w:val="002E5659"/>
    <w:rsid w:val="003013F2"/>
    <w:rsid w:val="003359E8"/>
    <w:rsid w:val="00355EB4"/>
    <w:rsid w:val="00393FA0"/>
    <w:rsid w:val="00531A33"/>
    <w:rsid w:val="00594D61"/>
    <w:rsid w:val="005F07A2"/>
    <w:rsid w:val="00617D2C"/>
    <w:rsid w:val="00652E48"/>
    <w:rsid w:val="007A3DA6"/>
    <w:rsid w:val="007B1DAB"/>
    <w:rsid w:val="00835E4F"/>
    <w:rsid w:val="00917109"/>
    <w:rsid w:val="00BA1286"/>
    <w:rsid w:val="00BB401C"/>
    <w:rsid w:val="00C128F6"/>
    <w:rsid w:val="00D44035"/>
    <w:rsid w:val="00E401C3"/>
    <w:rsid w:val="00EA7A74"/>
    <w:rsid w:val="00F60298"/>
    <w:rsid w:val="00F926CB"/>
    <w:rsid w:val="00FC7ABF"/>
    <w:rsid w:val="11587AF7"/>
    <w:rsid w:val="14BE593A"/>
    <w:rsid w:val="4145135F"/>
    <w:rsid w:val="4DDB58B9"/>
    <w:rsid w:val="77CA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5"/>
    <w:unhideWhenUsed/>
    <w:qFormat/>
    <w:uiPriority w:val="1"/>
    <w:pPr>
      <w:autoSpaceDE w:val="0"/>
      <w:autoSpaceDN w:val="0"/>
      <w:jc w:val="left"/>
    </w:pPr>
    <w:rPr>
      <w:rFonts w:ascii="宋体" w:hAnsi="宋体" w:eastAsia="宋体" w:cs="宋体"/>
      <w:kern w:val="0"/>
      <w:szCs w:val="21"/>
      <w:lang w:eastAsia="en-US"/>
    </w:rPr>
  </w:style>
  <w:style w:type="paragraph" w:styleId="4">
    <w:name w:val="Plain Text"/>
    <w:basedOn w:val="1"/>
    <w:link w:val="10"/>
    <w:qFormat/>
    <w:uiPriority w:val="0"/>
    <w:rPr>
      <w:rFonts w:ascii="宋体" w:hAnsi="Courier New" w:eastAsia="宋体" w:cs="Courier New"/>
      <w:szCs w:val="21"/>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1"/>
    <w:link w:val="4"/>
    <w:qFormat/>
    <w:uiPriority w:val="0"/>
    <w:rPr>
      <w:rFonts w:ascii="宋体" w:hAnsi="Courier New" w:eastAsia="宋体" w:cs="Courier New"/>
      <w:szCs w:val="21"/>
    </w:rPr>
  </w:style>
  <w:style w:type="character" w:customStyle="1" w:styleId="11">
    <w:name w:val="纯文本 字符"/>
    <w:basedOn w:val="9"/>
    <w:semiHidden/>
    <w:qFormat/>
    <w:uiPriority w:val="99"/>
    <w:rPr>
      <w:rFonts w:hAnsi="Courier New" w:cs="Courier New" w:asciiTheme="minorEastAsia"/>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styleId="14">
    <w:name w:val="List Paragraph"/>
    <w:basedOn w:val="1"/>
    <w:unhideWhenUsed/>
    <w:qFormat/>
    <w:uiPriority w:val="1"/>
    <w:pPr>
      <w:ind w:firstLine="420" w:firstLineChars="200"/>
    </w:pPr>
    <w:rPr>
      <w:rFonts w:ascii="Times New Roman" w:hAnsi="Times New Roman" w:eastAsia="宋体" w:cs="Times New Roman"/>
      <w:szCs w:val="21"/>
    </w:rPr>
  </w:style>
  <w:style w:type="character" w:customStyle="1" w:styleId="15">
    <w:name w:val="正文文本 字符"/>
    <w:basedOn w:val="9"/>
    <w:link w:val="3"/>
    <w:qFormat/>
    <w:uiPriority w:val="1"/>
    <w:rPr>
      <w:rFonts w:ascii="宋体" w:hAnsi="宋体" w:eastAsia="宋体" w:cs="宋体"/>
      <w:kern w:val="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276</Words>
  <Characters>1579</Characters>
  <Lines>13</Lines>
  <Paragraphs>3</Paragraphs>
  <TotalTime>10</TotalTime>
  <ScaleCrop>false</ScaleCrop>
  <LinksUpToDate>false</LinksUpToDate>
  <CharactersWithSpaces>1852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2022-04-19T00:51:00Z</dcterms:created>
  <dc:creator>吕 毅</dc:creator>
  <cp:lastModifiedBy>Administrator</cp:lastModifiedBy>
  <dcterms:modified xsi:type="dcterms:W3CDTF">2022-04-19T01:32:10Z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