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bidi w:val="0"/>
        <w:jc w:val="center"/>
        <w:rPr>
          <w:rFonts w:hint="default"/>
          <w:lang w:val="en-US" w:eastAsia="zh-CN"/>
        </w:rPr>
      </w:pPr>
      <w:r>
        <w:rPr>
          <w:rFonts w:hint="eastAsia"/>
          <w:lang w:val="en-US" w:eastAsia="zh-CN"/>
        </w:rPr>
        <w:t>建筑装饰工程计量与计价课程视频资源</w:t>
      </w:r>
    </w:p>
    <w:p>
      <w:pPr>
        <w:pStyle w:val="5"/>
        <w:bidi w:val="0"/>
        <w:rPr>
          <w:rFonts w:hint="eastAsia"/>
          <w:lang w:val="en-US" w:eastAsia="zh-CN"/>
        </w:rPr>
      </w:pPr>
      <w:r>
        <w:rPr>
          <w:rFonts w:hint="eastAsia"/>
          <w:lang w:val="en-US" w:eastAsia="zh-CN"/>
        </w:rPr>
        <w:t>一、需求清单</w:t>
      </w:r>
    </w:p>
    <w:tbl>
      <w:tblPr>
        <w:tblStyle w:val="11"/>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53"/>
        <w:gridCol w:w="1750"/>
        <w:gridCol w:w="1354"/>
        <w:gridCol w:w="1354"/>
        <w:gridCol w:w="1354"/>
        <w:gridCol w:w="135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0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产品名称</w:t>
            </w:r>
          </w:p>
        </w:tc>
        <w:tc>
          <w:tcPr>
            <w:tcW w:w="7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7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7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单价/元</w:t>
            </w:r>
          </w:p>
        </w:tc>
        <w:tc>
          <w:tcPr>
            <w:tcW w:w="7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0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课程宣传微课</w:t>
            </w:r>
          </w:p>
        </w:tc>
        <w:tc>
          <w:tcPr>
            <w:tcW w:w="7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18"/>
                <w:rFonts w:hint="default"/>
                <w:lang w:val="en-US" w:eastAsia="zh-CN" w:bidi="ar"/>
              </w:rPr>
            </w:pPr>
            <w:r>
              <w:rPr>
                <w:rStyle w:val="18"/>
                <w:rFonts w:hint="eastAsia"/>
                <w:lang w:val="en-US" w:eastAsia="zh-CN" w:bidi="ar"/>
              </w:rPr>
              <w:t>个</w:t>
            </w:r>
          </w:p>
        </w:tc>
        <w:tc>
          <w:tcPr>
            <w:tcW w:w="7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w:t>
            </w:r>
          </w:p>
        </w:tc>
        <w:tc>
          <w:tcPr>
            <w:tcW w:w="7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p>
        </w:tc>
        <w:tc>
          <w:tcPr>
            <w:tcW w:w="7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0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p>
        </w:tc>
      </w:tr>
    </w:tbl>
    <w:p>
      <w:pPr>
        <w:pStyle w:val="5"/>
        <w:numPr>
          <w:ilvl w:val="0"/>
          <w:numId w:val="1"/>
        </w:numPr>
        <w:bidi w:val="0"/>
        <w:rPr>
          <w:rFonts w:hint="eastAsia" w:eastAsia="宋体"/>
          <w:lang w:val="en-US" w:eastAsia="zh-CN"/>
        </w:rPr>
      </w:pPr>
      <w:r>
        <w:rPr>
          <w:rFonts w:hint="eastAsia" w:eastAsia="宋体"/>
          <w:lang w:val="en-US" w:eastAsia="zh-CN"/>
        </w:rPr>
        <w:t>课程明细</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5"/>
        <w:gridCol w:w="2341"/>
        <w:gridCol w:w="4747"/>
        <w:gridCol w:w="8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dxa"/>
          </w:tcPr>
          <w:p>
            <w:pPr>
              <w:numPr>
                <w:ilvl w:val="0"/>
                <w:numId w:val="0"/>
              </w:num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序号</w:t>
            </w:r>
          </w:p>
        </w:tc>
        <w:tc>
          <w:tcPr>
            <w:tcW w:w="7088" w:type="dxa"/>
            <w:gridSpan w:val="2"/>
          </w:tcPr>
          <w:p>
            <w:pPr>
              <w:numPr>
                <w:ilvl w:val="0"/>
                <w:numId w:val="0"/>
              </w:num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模块</w:t>
            </w:r>
          </w:p>
        </w:tc>
        <w:tc>
          <w:tcPr>
            <w:tcW w:w="889" w:type="dxa"/>
          </w:tcPr>
          <w:p>
            <w:pPr>
              <w:numPr>
                <w:ilvl w:val="0"/>
                <w:numId w:val="0"/>
              </w:num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微课/个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dxa"/>
          </w:tcPr>
          <w:p>
            <w:pPr>
              <w:numPr>
                <w:ilvl w:val="0"/>
                <w:numId w:val="0"/>
              </w:num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2341" w:type="dxa"/>
          </w:tcPr>
          <w:p>
            <w:pPr>
              <w:bidi w:val="0"/>
              <w:spacing w:line="360" w:lineRule="auto"/>
              <w:rPr>
                <w:rFonts w:hint="eastAsia" w:ascii="宋体" w:hAnsi="宋体" w:eastAsia="宋体" w:cs="宋体"/>
                <w:sz w:val="24"/>
                <w:szCs w:val="24"/>
                <w:lang w:val="en-US" w:eastAsia="zh-CN"/>
              </w:rPr>
            </w:pPr>
          </w:p>
          <w:p>
            <w:pPr>
              <w:bidi w:val="0"/>
              <w:spacing w:line="360" w:lineRule="auto"/>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建筑装饰工程计量与计价基础知识案例分析</w:t>
            </w:r>
          </w:p>
        </w:tc>
        <w:tc>
          <w:tcPr>
            <w:tcW w:w="4747" w:type="dxa"/>
            <w:vAlign w:val="center"/>
          </w:tcPr>
          <w:p>
            <w:pPr>
              <w:keepNext w:val="0"/>
              <w:keepLines w:val="0"/>
              <w:widowControl/>
              <w:suppressLineNumbers w:val="0"/>
              <w:spacing w:line="360" w:lineRule="auto"/>
              <w:jc w:val="left"/>
              <w:textAlignment w:val="center"/>
              <w:rPr>
                <w:rFonts w:hint="default"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建筑装饰工程概述、工程造价、工程费用、定额应用、工程量清单案例分析，视频时长5-8分钟/个</w:t>
            </w:r>
          </w:p>
        </w:tc>
        <w:tc>
          <w:tcPr>
            <w:tcW w:w="889" w:type="dxa"/>
          </w:tcPr>
          <w:p>
            <w:pPr>
              <w:numPr>
                <w:ilvl w:val="0"/>
                <w:numId w:val="0"/>
              </w:num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dxa"/>
          </w:tcPr>
          <w:p>
            <w:pPr>
              <w:numPr>
                <w:ilvl w:val="0"/>
                <w:numId w:val="0"/>
              </w:num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w:t>
            </w:r>
          </w:p>
        </w:tc>
        <w:tc>
          <w:tcPr>
            <w:tcW w:w="2341" w:type="dxa"/>
            <w:vAlign w:val="top"/>
          </w:tcPr>
          <w:p>
            <w:pPr>
              <w:bidi w:val="0"/>
              <w:spacing w:line="360" w:lineRule="auto"/>
              <w:jc w:val="both"/>
              <w:rPr>
                <w:rFonts w:hint="eastAsia" w:ascii="宋体" w:hAnsi="宋体" w:eastAsia="宋体" w:cs="宋体"/>
                <w:sz w:val="24"/>
                <w:szCs w:val="24"/>
                <w:lang w:val="en-US" w:eastAsia="zh-CN"/>
              </w:rPr>
            </w:pPr>
          </w:p>
          <w:p>
            <w:pPr>
              <w:bidi w:val="0"/>
              <w:spacing w:line="360" w:lineRule="auto"/>
              <w:jc w:val="both"/>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建筑装饰装修工程消耗量定额</w:t>
            </w:r>
          </w:p>
        </w:tc>
        <w:tc>
          <w:tcPr>
            <w:tcW w:w="4747" w:type="dxa"/>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GB T50353-2013/广西壮族自治区建筑装饰装修工程消耗量定额案例分析，视频时长5-8分钟/个</w:t>
            </w:r>
          </w:p>
        </w:tc>
        <w:tc>
          <w:tcPr>
            <w:tcW w:w="889" w:type="dxa"/>
          </w:tcPr>
          <w:p>
            <w:pPr>
              <w:numPr>
                <w:ilvl w:val="0"/>
                <w:numId w:val="0"/>
              </w:num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dxa"/>
          </w:tcPr>
          <w:p>
            <w:pPr>
              <w:numPr>
                <w:ilvl w:val="0"/>
                <w:numId w:val="0"/>
              </w:num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w:t>
            </w:r>
          </w:p>
        </w:tc>
        <w:tc>
          <w:tcPr>
            <w:tcW w:w="2341" w:type="dxa"/>
          </w:tcPr>
          <w:p>
            <w:pPr>
              <w:numPr>
                <w:ilvl w:val="0"/>
                <w:numId w:val="0"/>
              </w:numPr>
              <w:spacing w:line="360" w:lineRule="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装饰工程工程量计算规应用案例</w:t>
            </w:r>
          </w:p>
        </w:tc>
        <w:tc>
          <w:tcPr>
            <w:tcW w:w="4747" w:type="dxa"/>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装饰工程清单项目计算规则概述，视频时长5-8分钟/个</w:t>
            </w:r>
          </w:p>
        </w:tc>
        <w:tc>
          <w:tcPr>
            <w:tcW w:w="889" w:type="dxa"/>
          </w:tcPr>
          <w:p>
            <w:pPr>
              <w:numPr>
                <w:ilvl w:val="0"/>
                <w:numId w:val="0"/>
              </w:num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dxa"/>
          </w:tcPr>
          <w:p>
            <w:pPr>
              <w:numPr>
                <w:ilvl w:val="0"/>
                <w:numId w:val="0"/>
              </w:num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w:t>
            </w:r>
          </w:p>
        </w:tc>
        <w:tc>
          <w:tcPr>
            <w:tcW w:w="2341" w:type="dxa"/>
          </w:tcPr>
          <w:p>
            <w:pPr>
              <w:numPr>
                <w:ilvl w:val="0"/>
                <w:numId w:val="0"/>
              </w:numPr>
              <w:spacing w:line="360" w:lineRule="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工程量清单计价案例应用</w:t>
            </w:r>
          </w:p>
        </w:tc>
        <w:tc>
          <w:tcPr>
            <w:tcW w:w="4747" w:type="dxa"/>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楼地面工程基础知识，视频时长5-8分钟/个</w:t>
            </w:r>
          </w:p>
        </w:tc>
        <w:tc>
          <w:tcPr>
            <w:tcW w:w="889" w:type="dxa"/>
          </w:tcPr>
          <w:p>
            <w:pPr>
              <w:numPr>
                <w:ilvl w:val="0"/>
                <w:numId w:val="0"/>
              </w:num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dxa"/>
          </w:tcPr>
          <w:p>
            <w:pPr>
              <w:numPr>
                <w:ilvl w:val="0"/>
                <w:numId w:val="0"/>
              </w:numPr>
              <w:spacing w:line="360" w:lineRule="auto"/>
              <w:rPr>
                <w:rFonts w:hint="eastAsia" w:ascii="宋体" w:hAnsi="宋体" w:eastAsia="宋体" w:cs="宋体"/>
                <w:sz w:val="24"/>
                <w:szCs w:val="24"/>
                <w:vertAlign w:val="baseline"/>
                <w:lang w:val="en-US" w:eastAsia="zh-CN"/>
              </w:rPr>
            </w:pPr>
          </w:p>
        </w:tc>
        <w:tc>
          <w:tcPr>
            <w:tcW w:w="2341" w:type="dxa"/>
          </w:tcPr>
          <w:p>
            <w:pPr>
              <w:numPr>
                <w:ilvl w:val="0"/>
                <w:numId w:val="0"/>
              </w:num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合计</w:t>
            </w:r>
          </w:p>
        </w:tc>
        <w:tc>
          <w:tcPr>
            <w:tcW w:w="4747" w:type="dxa"/>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4"/>
                <w:szCs w:val="24"/>
                <w:u w:val="none"/>
                <w:lang w:val="en-US" w:eastAsia="zh-CN" w:bidi="ar"/>
              </w:rPr>
            </w:pPr>
          </w:p>
        </w:tc>
        <w:tc>
          <w:tcPr>
            <w:tcW w:w="889" w:type="dxa"/>
          </w:tcPr>
          <w:p>
            <w:pPr>
              <w:numPr>
                <w:ilvl w:val="0"/>
                <w:numId w:val="0"/>
              </w:num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11</w:t>
            </w:r>
          </w:p>
        </w:tc>
      </w:tr>
    </w:tbl>
    <w:p>
      <w:pPr>
        <w:numPr>
          <w:ilvl w:val="0"/>
          <w:numId w:val="0"/>
        </w:numPr>
        <w:rPr>
          <w:rFonts w:hint="eastAsia"/>
          <w:lang w:val="en-US" w:eastAsia="zh-CN"/>
        </w:rPr>
      </w:pPr>
    </w:p>
    <w:p>
      <w:pPr>
        <w:pStyle w:val="5"/>
        <w:bidi w:val="0"/>
        <w:rPr>
          <w:rFonts w:hint="eastAsia" w:eastAsia="宋体"/>
          <w:lang w:val="en-US" w:eastAsia="zh-CN"/>
        </w:rPr>
      </w:pPr>
      <w:r>
        <w:rPr>
          <w:rFonts w:hint="eastAsia" w:eastAsia="宋体"/>
          <w:lang w:val="en-US" w:eastAsia="zh-CN"/>
        </w:rPr>
        <w:t>三、技术参数</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2"/>
        <w:gridCol w:w="597"/>
        <w:gridCol w:w="7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序号</w:t>
            </w:r>
          </w:p>
        </w:tc>
        <w:tc>
          <w:tcPr>
            <w:tcW w:w="0" w:type="auto"/>
            <w:vAlign w:val="center"/>
          </w:tcPr>
          <w:p>
            <w:p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产品名称</w:t>
            </w:r>
          </w:p>
        </w:tc>
        <w:tc>
          <w:tcPr>
            <w:tcW w:w="0" w:type="auto"/>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0" w:type="auto"/>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微课</w:t>
            </w:r>
          </w:p>
        </w:tc>
        <w:tc>
          <w:tcPr>
            <w:tcW w:w="0" w:type="auto"/>
            <w:vAlign w:val="center"/>
          </w:tcPr>
          <w:p>
            <w:pPr>
              <w:pStyle w:val="19"/>
              <w:spacing w:line="276" w:lineRule="auto"/>
              <w:ind w:firstLine="442"/>
              <w:jc w:val="left"/>
              <w:rPr>
                <w:rFonts w:hint="eastAsia" w:ascii="宋体" w:hAnsi="宋体" w:eastAsia="宋体" w:cs="宋体"/>
                <w:b/>
                <w:sz w:val="24"/>
                <w:szCs w:val="24"/>
              </w:rPr>
            </w:pPr>
            <w:r>
              <w:rPr>
                <w:rFonts w:hint="eastAsia" w:ascii="宋体" w:hAnsi="宋体" w:eastAsia="宋体" w:cs="宋体"/>
                <w:b/>
                <w:sz w:val="24"/>
                <w:szCs w:val="24"/>
              </w:rPr>
              <w:t>1.制作前期准备</w:t>
            </w:r>
          </w:p>
          <w:p>
            <w:pPr>
              <w:pStyle w:val="19"/>
              <w:spacing w:line="276" w:lineRule="auto"/>
              <w:ind w:firstLine="440"/>
              <w:jc w:val="left"/>
              <w:rPr>
                <w:rFonts w:hint="eastAsia" w:ascii="宋体" w:hAnsi="宋体" w:eastAsia="宋体" w:cs="宋体"/>
                <w:sz w:val="24"/>
                <w:szCs w:val="24"/>
              </w:rPr>
            </w:pPr>
            <w:r>
              <w:rPr>
                <w:rFonts w:hint="eastAsia" w:ascii="宋体" w:hAnsi="宋体" w:eastAsia="宋体" w:cs="宋体"/>
                <w:sz w:val="24"/>
                <w:szCs w:val="24"/>
                <w:lang w:val="en-US" w:eastAsia="zh-CN"/>
              </w:rPr>
              <w:t>▲</w:t>
            </w:r>
            <w:r>
              <w:rPr>
                <w:rFonts w:hint="eastAsia" w:ascii="宋体" w:hAnsi="宋体" w:eastAsia="宋体" w:cs="宋体"/>
                <w:sz w:val="24"/>
                <w:szCs w:val="24"/>
              </w:rPr>
              <w:t>（1）采购人提供课程标准、教案、教学课件（PPT 等)及脚本，供应商按采购人要求，根据教学内容特点，按照教学设计脚本的要求制作一定的图、表、动画、视频及必要的过渡效果等，供应商提供课程资源库所选的各种类型的素材资源。</w:t>
            </w:r>
          </w:p>
          <w:p>
            <w:pPr>
              <w:pStyle w:val="19"/>
              <w:spacing w:line="276" w:lineRule="auto"/>
              <w:ind w:firstLine="440"/>
              <w:jc w:val="left"/>
              <w:rPr>
                <w:rFonts w:hint="eastAsia" w:ascii="宋体" w:hAnsi="宋体" w:eastAsia="宋体" w:cs="宋体"/>
                <w:sz w:val="24"/>
                <w:szCs w:val="24"/>
              </w:rPr>
            </w:pPr>
            <w:r>
              <w:rPr>
                <w:rFonts w:hint="eastAsia" w:ascii="宋体" w:hAnsi="宋体" w:eastAsia="宋体" w:cs="宋体"/>
                <w:sz w:val="24"/>
                <w:szCs w:val="24"/>
              </w:rPr>
              <w:t>（2）根据课程性质，供应商提供不少于以下6种的拍摄模式供采购人选择（不限以下制作呈现模式）：</w:t>
            </w:r>
          </w:p>
          <w:p>
            <w:pPr>
              <w:pStyle w:val="19"/>
              <w:spacing w:line="276" w:lineRule="auto"/>
              <w:ind w:firstLine="440"/>
              <w:jc w:val="left"/>
              <w:rPr>
                <w:rFonts w:hint="eastAsia" w:ascii="宋体" w:hAnsi="宋体" w:eastAsia="宋体" w:cs="宋体"/>
                <w:sz w:val="24"/>
                <w:szCs w:val="24"/>
              </w:rPr>
            </w:pPr>
            <w:r>
              <w:rPr>
                <w:rFonts w:hint="eastAsia" w:ascii="宋体" w:hAnsi="宋体" w:eastAsia="宋体" w:cs="宋体"/>
                <w:sz w:val="24"/>
                <w:szCs w:val="24"/>
              </w:rPr>
              <w:t>图文演绎模式：在摄影棚内采集声音，全程PPT图文动态演示。</w:t>
            </w:r>
          </w:p>
          <w:p>
            <w:pPr>
              <w:pStyle w:val="19"/>
              <w:spacing w:line="276" w:lineRule="auto"/>
              <w:ind w:firstLine="440"/>
              <w:jc w:val="left"/>
              <w:rPr>
                <w:rFonts w:hint="eastAsia" w:ascii="宋体" w:hAnsi="宋体" w:eastAsia="宋体" w:cs="宋体"/>
                <w:sz w:val="24"/>
                <w:szCs w:val="24"/>
              </w:rPr>
            </w:pPr>
            <w:r>
              <w:rPr>
                <w:rFonts w:hint="eastAsia" w:ascii="宋体" w:hAnsi="宋体" w:eastAsia="宋体" w:cs="宋体"/>
                <w:sz w:val="24"/>
                <w:szCs w:val="24"/>
              </w:rPr>
              <w:t>实操实验模式：在摄影棚内拍摄，通过实际操作演示、讲解，完成教学过程。</w:t>
            </w:r>
          </w:p>
          <w:p>
            <w:pPr>
              <w:pStyle w:val="19"/>
              <w:spacing w:line="276" w:lineRule="auto"/>
              <w:ind w:firstLine="440"/>
              <w:jc w:val="left"/>
              <w:rPr>
                <w:rFonts w:hint="eastAsia" w:ascii="宋体" w:hAnsi="宋体" w:eastAsia="宋体" w:cs="宋体"/>
                <w:sz w:val="24"/>
                <w:szCs w:val="24"/>
              </w:rPr>
            </w:pPr>
            <w:r>
              <w:rPr>
                <w:rFonts w:hint="eastAsia" w:ascii="宋体" w:hAnsi="宋体" w:eastAsia="宋体" w:cs="宋体"/>
                <w:sz w:val="24"/>
                <w:szCs w:val="24"/>
              </w:rPr>
              <w:t>实景模式：在实景场地按照脚本设计完成课程拍摄，根据教师讲课风格特点，后期配动态素材，以增加课程趣味性。</w:t>
            </w:r>
          </w:p>
          <w:p>
            <w:pPr>
              <w:pStyle w:val="19"/>
              <w:spacing w:line="276" w:lineRule="auto"/>
              <w:ind w:firstLine="440"/>
              <w:jc w:val="left"/>
              <w:rPr>
                <w:rFonts w:hint="eastAsia" w:ascii="宋体" w:hAnsi="宋体" w:eastAsia="宋体" w:cs="宋体"/>
                <w:sz w:val="24"/>
                <w:szCs w:val="24"/>
              </w:rPr>
            </w:pPr>
            <w:r>
              <w:rPr>
                <w:rFonts w:hint="eastAsia" w:ascii="宋体" w:hAnsi="宋体" w:eastAsia="宋体" w:cs="宋体"/>
                <w:sz w:val="24"/>
                <w:szCs w:val="24"/>
              </w:rPr>
              <w:t>虚拟抠像模式：根据教师课程需求，设计虚拟背景，使用虚拟绿幕抠图，制作带虚拟背景的微课。</w:t>
            </w:r>
          </w:p>
          <w:p>
            <w:pPr>
              <w:pStyle w:val="19"/>
              <w:spacing w:line="276" w:lineRule="auto"/>
              <w:ind w:firstLine="440"/>
              <w:jc w:val="left"/>
              <w:rPr>
                <w:rFonts w:hint="eastAsia" w:ascii="宋体" w:hAnsi="宋体" w:eastAsia="宋体" w:cs="宋体"/>
                <w:sz w:val="24"/>
                <w:szCs w:val="24"/>
              </w:rPr>
            </w:pPr>
            <w:r>
              <w:rPr>
                <w:rFonts w:hint="eastAsia" w:ascii="宋体" w:hAnsi="宋体" w:eastAsia="宋体" w:cs="宋体"/>
                <w:sz w:val="24"/>
                <w:szCs w:val="24"/>
              </w:rPr>
              <w:t>课堂实景模式：根据教师课程需求，在课室环境内进行课堂实录，场景中有讲台、大屏，大屏演示ppt教学内容，教师在讲述的过程中可与台下学员交流互动，开放性的学习，有利于不同层次的学员在创设的时间和空间中更自由地发挥和主动学习。</w:t>
            </w:r>
          </w:p>
          <w:p>
            <w:pPr>
              <w:pStyle w:val="19"/>
              <w:spacing w:line="276" w:lineRule="auto"/>
              <w:ind w:firstLine="440"/>
              <w:jc w:val="left"/>
              <w:rPr>
                <w:rFonts w:hint="eastAsia" w:ascii="宋体" w:hAnsi="宋体" w:eastAsia="宋体" w:cs="宋体"/>
                <w:sz w:val="24"/>
                <w:szCs w:val="24"/>
              </w:rPr>
            </w:pPr>
            <w:r>
              <w:rPr>
                <w:rFonts w:hint="eastAsia" w:ascii="宋体" w:hAnsi="宋体" w:eastAsia="宋体" w:cs="宋体"/>
                <w:sz w:val="24"/>
                <w:szCs w:val="24"/>
              </w:rPr>
              <w:t>录屏AE包装模式：全程录制电脑屏幕，须保证视频画面的美观流畅，后期通过AE包装软件制作具体课程特性的动态效果。</w:t>
            </w:r>
          </w:p>
          <w:p>
            <w:pPr>
              <w:pStyle w:val="19"/>
              <w:spacing w:line="276" w:lineRule="auto"/>
              <w:ind w:firstLine="442"/>
              <w:jc w:val="left"/>
              <w:rPr>
                <w:rFonts w:hint="eastAsia" w:ascii="宋体" w:hAnsi="宋体" w:eastAsia="宋体" w:cs="宋体"/>
                <w:b/>
                <w:sz w:val="24"/>
                <w:szCs w:val="24"/>
              </w:rPr>
            </w:pPr>
            <w:r>
              <w:rPr>
                <w:rFonts w:hint="eastAsia" w:ascii="宋体" w:hAnsi="宋体" w:eastAsia="宋体" w:cs="宋体"/>
                <w:b/>
                <w:sz w:val="24"/>
                <w:szCs w:val="24"/>
              </w:rPr>
              <w:t>2.视频制作要求</w:t>
            </w:r>
          </w:p>
          <w:p>
            <w:pPr>
              <w:pStyle w:val="19"/>
              <w:spacing w:line="276" w:lineRule="auto"/>
              <w:ind w:firstLine="440"/>
              <w:jc w:val="left"/>
              <w:rPr>
                <w:rFonts w:hint="eastAsia" w:ascii="宋体" w:hAnsi="宋体" w:eastAsia="宋体" w:cs="宋体"/>
                <w:sz w:val="24"/>
                <w:szCs w:val="24"/>
              </w:rPr>
            </w:pPr>
            <w:r>
              <w:rPr>
                <w:rFonts w:hint="eastAsia" w:ascii="宋体" w:hAnsi="宋体" w:eastAsia="宋体" w:cs="宋体"/>
                <w:sz w:val="24"/>
                <w:szCs w:val="24"/>
              </w:rPr>
              <w:t>（1）相关指标</w:t>
            </w:r>
          </w:p>
          <w:p>
            <w:pPr>
              <w:pStyle w:val="19"/>
              <w:spacing w:line="276" w:lineRule="auto"/>
              <w:ind w:firstLine="440"/>
              <w:jc w:val="left"/>
              <w:rPr>
                <w:rFonts w:hint="eastAsia" w:ascii="宋体" w:hAnsi="宋体" w:eastAsia="宋体" w:cs="宋体"/>
                <w:sz w:val="24"/>
                <w:szCs w:val="24"/>
              </w:rPr>
            </w:pPr>
            <w:r>
              <w:rPr>
                <w:rFonts w:hint="eastAsia" w:ascii="宋体" w:hAnsi="宋体" w:eastAsia="宋体" w:cs="宋体"/>
                <w:bCs/>
                <w:sz w:val="24"/>
                <w:szCs w:val="24"/>
              </w:rPr>
              <w:t>根据课程设计，按照课程框架，分单元完成知识点内容的拍摄和后期制作，提供不同的拍摄模式供采购人选择</w:t>
            </w:r>
            <w:r>
              <w:rPr>
                <w:rFonts w:hint="eastAsia" w:ascii="宋体" w:hAnsi="宋体" w:eastAsia="宋体" w:cs="宋体"/>
                <w:sz w:val="24"/>
                <w:szCs w:val="24"/>
                <w:lang w:bidi="zh-CN"/>
              </w:rPr>
              <w:t>。</w:t>
            </w:r>
          </w:p>
          <w:p>
            <w:pPr>
              <w:pStyle w:val="19"/>
              <w:spacing w:line="276" w:lineRule="auto"/>
              <w:ind w:firstLine="440"/>
              <w:jc w:val="left"/>
              <w:rPr>
                <w:rFonts w:hint="eastAsia" w:ascii="宋体" w:hAnsi="宋体" w:eastAsia="宋体" w:cs="宋体"/>
                <w:sz w:val="24"/>
                <w:szCs w:val="24"/>
              </w:rPr>
            </w:pPr>
            <w:r>
              <w:rPr>
                <w:rFonts w:hint="eastAsia" w:ascii="宋体" w:hAnsi="宋体" w:eastAsia="宋体" w:cs="宋体"/>
                <w:sz w:val="24"/>
                <w:szCs w:val="24"/>
              </w:rPr>
              <w:t>全片图像同步性能稳定，不出现空画面。画面无明显抖动跳跃、摇晃、倾斜、虚焦、噪点、色彩突变等现象，编辑点处图像稳定。</w:t>
            </w:r>
          </w:p>
          <w:p>
            <w:pPr>
              <w:pStyle w:val="19"/>
              <w:spacing w:line="276" w:lineRule="auto"/>
              <w:ind w:firstLine="440"/>
              <w:jc w:val="left"/>
              <w:rPr>
                <w:rFonts w:hint="eastAsia" w:ascii="宋体" w:hAnsi="宋体" w:eastAsia="宋体" w:cs="宋体"/>
                <w:sz w:val="24"/>
                <w:szCs w:val="24"/>
              </w:rPr>
            </w:pPr>
            <w:r>
              <w:rPr>
                <w:rFonts w:hint="eastAsia" w:ascii="宋体" w:hAnsi="宋体" w:eastAsia="宋体" w:cs="宋体"/>
                <w:sz w:val="24"/>
                <w:szCs w:val="24"/>
              </w:rPr>
              <w:t>视频色调白平衡正确，无明显偏色，多机拍摄的镜头衔接处无明显色差。曝光适当，灯光运用合理，无阴影，无布光不均现象。</w:t>
            </w:r>
          </w:p>
          <w:p>
            <w:pPr>
              <w:pStyle w:val="19"/>
              <w:spacing w:line="276" w:lineRule="auto"/>
              <w:ind w:firstLine="440"/>
              <w:jc w:val="left"/>
              <w:rPr>
                <w:rFonts w:hint="eastAsia" w:ascii="宋体" w:hAnsi="宋体" w:eastAsia="宋体" w:cs="宋体"/>
                <w:sz w:val="24"/>
                <w:szCs w:val="24"/>
              </w:rPr>
            </w:pPr>
            <w:r>
              <w:rPr>
                <w:rFonts w:hint="eastAsia" w:ascii="宋体" w:hAnsi="宋体" w:eastAsia="宋体" w:cs="宋体"/>
                <w:sz w:val="24"/>
                <w:szCs w:val="24"/>
              </w:rPr>
              <w:t>视频信噪比不低于55dB，无明显杂波。</w:t>
            </w:r>
          </w:p>
          <w:p>
            <w:pPr>
              <w:pStyle w:val="19"/>
              <w:spacing w:line="276" w:lineRule="auto"/>
              <w:ind w:firstLine="440"/>
              <w:jc w:val="left"/>
              <w:rPr>
                <w:rFonts w:hint="eastAsia" w:ascii="宋体" w:hAnsi="宋体" w:eastAsia="宋体" w:cs="宋体"/>
                <w:sz w:val="24"/>
                <w:szCs w:val="24"/>
              </w:rPr>
            </w:pPr>
            <w:r>
              <w:rPr>
                <w:rFonts w:hint="eastAsia" w:ascii="宋体" w:hAnsi="宋体" w:eastAsia="宋体" w:cs="宋体"/>
                <w:sz w:val="24"/>
                <w:szCs w:val="24"/>
              </w:rPr>
              <w:t>视频压缩采用 H.264/AVC (MPEG-4 Part10)编码、 MP4 格式。最低码率不得低于 1024Kbps。</w:t>
            </w:r>
          </w:p>
          <w:p>
            <w:pPr>
              <w:pStyle w:val="19"/>
              <w:spacing w:line="276" w:lineRule="auto"/>
              <w:ind w:firstLine="440"/>
              <w:jc w:val="left"/>
              <w:rPr>
                <w:rFonts w:hint="eastAsia" w:ascii="宋体" w:hAnsi="宋体" w:eastAsia="宋体" w:cs="宋体"/>
                <w:sz w:val="24"/>
                <w:szCs w:val="24"/>
              </w:rPr>
            </w:pPr>
            <w:r>
              <w:rPr>
                <w:rFonts w:hint="eastAsia" w:ascii="宋体" w:hAnsi="宋体" w:eastAsia="宋体" w:cs="宋体"/>
                <w:sz w:val="24"/>
                <w:szCs w:val="24"/>
              </w:rPr>
              <w:t>视频拍摄前期采用高清 16:9，拍摄分辨率不低于 1920*1080，在同一课程中，各讲的视频分辨率和画幅的宽高比应统一，不得混用。</w:t>
            </w:r>
          </w:p>
          <w:p>
            <w:pPr>
              <w:pStyle w:val="19"/>
              <w:spacing w:line="276" w:lineRule="auto"/>
              <w:ind w:firstLine="440"/>
              <w:jc w:val="left"/>
              <w:rPr>
                <w:rFonts w:hint="eastAsia" w:ascii="宋体" w:hAnsi="宋体" w:eastAsia="宋体" w:cs="宋体"/>
                <w:sz w:val="24"/>
                <w:szCs w:val="24"/>
              </w:rPr>
            </w:pPr>
            <w:r>
              <w:rPr>
                <w:rFonts w:hint="eastAsia" w:ascii="宋体" w:hAnsi="宋体" w:eastAsia="宋体" w:cs="宋体"/>
                <w:sz w:val="24"/>
                <w:szCs w:val="24"/>
              </w:rPr>
              <w:t xml:space="preserve">视频帧率≥30帧/秒。扫描方式采用逐行扫描。  </w:t>
            </w:r>
          </w:p>
          <w:p>
            <w:pPr>
              <w:pStyle w:val="19"/>
              <w:spacing w:line="276" w:lineRule="auto"/>
              <w:ind w:firstLine="440"/>
              <w:jc w:val="left"/>
              <w:rPr>
                <w:rFonts w:hint="eastAsia" w:ascii="宋体" w:hAnsi="宋体" w:eastAsia="宋体" w:cs="宋体"/>
                <w:sz w:val="24"/>
                <w:szCs w:val="24"/>
              </w:rPr>
            </w:pPr>
            <w:r>
              <w:rPr>
                <w:rFonts w:hint="eastAsia" w:ascii="宋体" w:hAnsi="宋体" w:eastAsia="宋体" w:cs="宋体"/>
                <w:sz w:val="24"/>
                <w:szCs w:val="24"/>
              </w:rPr>
              <w:t>（2）片头片尾相关指标</w:t>
            </w:r>
          </w:p>
          <w:p>
            <w:pPr>
              <w:pStyle w:val="19"/>
              <w:spacing w:line="276" w:lineRule="auto"/>
              <w:ind w:firstLine="440"/>
              <w:jc w:val="left"/>
              <w:rPr>
                <w:rFonts w:hint="eastAsia" w:ascii="宋体" w:hAnsi="宋体" w:eastAsia="宋体" w:cs="宋体"/>
                <w:sz w:val="24"/>
                <w:szCs w:val="24"/>
              </w:rPr>
            </w:pPr>
            <w:r>
              <w:rPr>
                <w:rFonts w:hint="eastAsia" w:ascii="宋体" w:hAnsi="宋体" w:eastAsia="宋体" w:cs="宋体"/>
                <w:sz w:val="24"/>
                <w:szCs w:val="24"/>
              </w:rPr>
              <w:t xml:space="preserve">片头、片尾各 10 秒左右（不计入总时长），可包括:学校LOGO、课程名称、讲次、主讲教师姓名、专业技术职务、单位等信息。片尾包括版权单位、制作单位、制作人、录制时间等信息。（项目特殊要求除外）  </w:t>
            </w:r>
          </w:p>
          <w:p>
            <w:pPr>
              <w:pStyle w:val="19"/>
              <w:spacing w:line="276" w:lineRule="auto"/>
              <w:ind w:firstLine="440"/>
              <w:jc w:val="left"/>
              <w:rPr>
                <w:rFonts w:hint="eastAsia" w:ascii="宋体" w:hAnsi="宋体" w:eastAsia="宋体" w:cs="宋体"/>
                <w:sz w:val="24"/>
                <w:szCs w:val="24"/>
              </w:rPr>
            </w:pPr>
            <w:r>
              <w:rPr>
                <w:rFonts w:hint="eastAsia" w:ascii="宋体" w:hAnsi="宋体" w:eastAsia="宋体" w:cs="宋体"/>
                <w:sz w:val="24"/>
                <w:szCs w:val="24"/>
              </w:rPr>
              <w:t>（3）字幕制作要求</w:t>
            </w:r>
          </w:p>
          <w:p>
            <w:pPr>
              <w:pStyle w:val="19"/>
              <w:spacing w:line="276" w:lineRule="auto"/>
              <w:ind w:firstLine="440"/>
              <w:jc w:val="left"/>
              <w:rPr>
                <w:rFonts w:hint="eastAsia" w:ascii="宋体" w:hAnsi="宋体" w:eastAsia="宋体" w:cs="宋体"/>
                <w:sz w:val="24"/>
                <w:szCs w:val="24"/>
              </w:rPr>
            </w:pPr>
            <w:r>
              <w:rPr>
                <w:rFonts w:hint="eastAsia" w:ascii="宋体" w:hAnsi="宋体" w:eastAsia="宋体" w:cs="宋体"/>
                <w:sz w:val="24"/>
                <w:szCs w:val="24"/>
              </w:rPr>
              <w:t>根据课程建设要求的具体实际确定是否增加字幕，字幕制作形式可选择内嵌字幕或外挂字幕。</w:t>
            </w:r>
          </w:p>
          <w:p>
            <w:pPr>
              <w:pStyle w:val="19"/>
              <w:spacing w:line="276" w:lineRule="auto"/>
              <w:ind w:firstLine="440"/>
              <w:jc w:val="left"/>
              <w:rPr>
                <w:rFonts w:hint="eastAsia" w:ascii="宋体" w:hAnsi="宋体" w:eastAsia="宋体" w:cs="宋体"/>
                <w:sz w:val="24"/>
                <w:szCs w:val="24"/>
              </w:rPr>
            </w:pPr>
            <w:r>
              <w:rPr>
                <w:rFonts w:hint="eastAsia" w:ascii="宋体" w:hAnsi="宋体" w:eastAsia="宋体" w:cs="宋体"/>
                <w:sz w:val="24"/>
                <w:szCs w:val="24"/>
              </w:rPr>
              <w:t>①内嵌字幕相关指标</w:t>
            </w:r>
          </w:p>
          <w:p>
            <w:pPr>
              <w:pStyle w:val="19"/>
              <w:spacing w:line="276" w:lineRule="auto"/>
              <w:ind w:firstLine="440"/>
              <w:jc w:val="left"/>
              <w:rPr>
                <w:rFonts w:hint="eastAsia" w:ascii="宋体" w:hAnsi="宋体" w:eastAsia="宋体" w:cs="宋体"/>
                <w:sz w:val="24"/>
                <w:szCs w:val="24"/>
              </w:rPr>
            </w:pPr>
            <w:r>
              <w:rPr>
                <w:rFonts w:hint="eastAsia" w:ascii="宋体" w:hAnsi="宋体" w:eastAsia="宋体" w:cs="宋体"/>
                <w:sz w:val="24"/>
                <w:szCs w:val="24"/>
              </w:rPr>
              <w:t>要使用符合国家标准的规范字，不出现繁体字、异体字(国家规定的除外)、错别字；字幕的字体、大小、色彩搭配、摆放位置、停留时间、出入屏方式力求与其他要素（画面、解说词、音乐）配合适当，不能破坏原有画面。</w:t>
            </w:r>
          </w:p>
          <w:p>
            <w:pPr>
              <w:pStyle w:val="19"/>
              <w:spacing w:line="276" w:lineRule="auto"/>
              <w:ind w:firstLine="440"/>
              <w:jc w:val="left"/>
              <w:rPr>
                <w:rFonts w:hint="eastAsia" w:ascii="宋体" w:hAnsi="宋体" w:eastAsia="宋体" w:cs="宋体"/>
                <w:sz w:val="24"/>
                <w:szCs w:val="24"/>
              </w:rPr>
            </w:pPr>
            <w:r>
              <w:rPr>
                <w:rFonts w:hint="eastAsia" w:ascii="宋体" w:hAnsi="宋体" w:eastAsia="宋体" w:cs="宋体"/>
                <w:sz w:val="24"/>
                <w:szCs w:val="24"/>
              </w:rPr>
              <w:t>②外挂字幕文件技术要求</w:t>
            </w:r>
          </w:p>
          <w:p>
            <w:pPr>
              <w:pStyle w:val="19"/>
              <w:spacing w:line="276" w:lineRule="auto"/>
              <w:ind w:firstLine="440"/>
              <w:jc w:val="left"/>
              <w:rPr>
                <w:rFonts w:hint="eastAsia" w:ascii="宋体" w:hAnsi="宋体" w:eastAsia="宋体" w:cs="宋体"/>
                <w:sz w:val="24"/>
                <w:szCs w:val="24"/>
              </w:rPr>
            </w:pPr>
            <w:r>
              <w:rPr>
                <w:rFonts w:hint="eastAsia" w:ascii="宋体" w:hAnsi="宋体" w:eastAsia="宋体" w:cs="宋体"/>
                <w:sz w:val="24"/>
                <w:szCs w:val="24"/>
              </w:rPr>
              <w:t>独立的 SRT 格式的字幕文件;</w:t>
            </w:r>
          </w:p>
          <w:p>
            <w:pPr>
              <w:pStyle w:val="19"/>
              <w:spacing w:line="276" w:lineRule="auto"/>
              <w:ind w:firstLine="440"/>
              <w:jc w:val="left"/>
              <w:rPr>
                <w:rFonts w:hint="eastAsia" w:ascii="宋体" w:hAnsi="宋体" w:eastAsia="宋体" w:cs="宋体"/>
                <w:sz w:val="24"/>
                <w:szCs w:val="24"/>
              </w:rPr>
            </w:pPr>
            <w:r>
              <w:rPr>
                <w:rFonts w:hint="eastAsia" w:ascii="宋体" w:hAnsi="宋体" w:eastAsia="宋体" w:cs="宋体"/>
                <w:sz w:val="24"/>
                <w:szCs w:val="24"/>
              </w:rPr>
              <w:t>行数要求：每屏只有一行字幕；</w:t>
            </w:r>
          </w:p>
          <w:p>
            <w:pPr>
              <w:pStyle w:val="19"/>
              <w:spacing w:line="276" w:lineRule="auto"/>
              <w:ind w:firstLine="440"/>
              <w:jc w:val="left"/>
              <w:rPr>
                <w:rFonts w:hint="eastAsia" w:ascii="宋体" w:hAnsi="宋体" w:eastAsia="宋体" w:cs="宋体"/>
                <w:sz w:val="24"/>
                <w:szCs w:val="24"/>
              </w:rPr>
            </w:pPr>
            <w:r>
              <w:rPr>
                <w:rFonts w:hint="eastAsia" w:ascii="宋体" w:hAnsi="宋体" w:eastAsia="宋体" w:cs="宋体"/>
                <w:sz w:val="24"/>
                <w:szCs w:val="24"/>
              </w:rPr>
              <w:t>字幕的字数要求：每行不超过 20 个字。</w:t>
            </w:r>
          </w:p>
          <w:p>
            <w:pPr>
              <w:pStyle w:val="19"/>
              <w:spacing w:line="276" w:lineRule="auto"/>
              <w:ind w:firstLine="440"/>
              <w:jc w:val="left"/>
              <w:rPr>
                <w:rFonts w:hint="eastAsia" w:ascii="宋体" w:hAnsi="宋体" w:eastAsia="宋体" w:cs="宋体"/>
                <w:sz w:val="24"/>
                <w:szCs w:val="24"/>
              </w:rPr>
            </w:pPr>
            <w:r>
              <w:rPr>
                <w:rFonts w:hint="eastAsia" w:ascii="宋体" w:hAnsi="宋体" w:eastAsia="宋体" w:cs="宋体"/>
                <w:sz w:val="24"/>
                <w:szCs w:val="24"/>
              </w:rPr>
              <w:t>字幕的位置：保持每屏唱词出现位置一致，且居中。</w:t>
            </w:r>
          </w:p>
          <w:p>
            <w:pPr>
              <w:pStyle w:val="19"/>
              <w:spacing w:line="276" w:lineRule="auto"/>
              <w:ind w:firstLine="440"/>
              <w:jc w:val="left"/>
              <w:rPr>
                <w:rFonts w:hint="eastAsia" w:ascii="宋体" w:hAnsi="宋体" w:eastAsia="宋体" w:cs="宋体"/>
                <w:sz w:val="24"/>
                <w:szCs w:val="24"/>
              </w:rPr>
            </w:pPr>
            <w:r>
              <w:rPr>
                <w:rFonts w:hint="eastAsia" w:ascii="宋体" w:hAnsi="宋体" w:eastAsia="宋体" w:cs="宋体"/>
                <w:sz w:val="24"/>
                <w:szCs w:val="24"/>
              </w:rPr>
              <w:t>字幕中的标点符号：只有书名号及书名号中的标点、间隔号、连接号、具有特殊含意的词语的引号可以出现在字幕中，在每屏字幕中用空格代替标点表示语气停顿，所有标点及空格均使用全角。</w:t>
            </w:r>
          </w:p>
          <w:p>
            <w:pPr>
              <w:pStyle w:val="19"/>
              <w:spacing w:line="276" w:lineRule="auto"/>
              <w:ind w:firstLine="440"/>
              <w:jc w:val="left"/>
              <w:rPr>
                <w:rFonts w:hint="eastAsia" w:ascii="宋体" w:hAnsi="宋体" w:eastAsia="宋体" w:cs="宋体"/>
                <w:sz w:val="24"/>
                <w:szCs w:val="24"/>
              </w:rPr>
            </w:pPr>
            <w:r>
              <w:rPr>
                <w:rFonts w:hint="eastAsia" w:ascii="宋体" w:hAnsi="宋体" w:eastAsia="宋体" w:cs="宋体"/>
                <w:sz w:val="24"/>
                <w:szCs w:val="24"/>
              </w:rPr>
              <w:t>字幕的断句：不简单按照字数断句，以内容为断句依据。</w:t>
            </w:r>
          </w:p>
          <w:p>
            <w:pPr>
              <w:pStyle w:val="19"/>
              <w:spacing w:line="276" w:lineRule="auto"/>
              <w:ind w:firstLine="440"/>
              <w:jc w:val="left"/>
              <w:rPr>
                <w:rFonts w:hint="eastAsia" w:ascii="宋体" w:hAnsi="宋体" w:eastAsia="宋体" w:cs="宋体"/>
                <w:sz w:val="24"/>
                <w:szCs w:val="24"/>
              </w:rPr>
            </w:pPr>
            <w:r>
              <w:rPr>
                <w:rFonts w:hint="eastAsia" w:ascii="宋体" w:hAnsi="宋体" w:eastAsia="宋体" w:cs="宋体"/>
                <w:sz w:val="24"/>
                <w:szCs w:val="24"/>
              </w:rPr>
              <w:t>幕中的数学公式、化学分子式、物理量和单位，尽量以文本文字呈现；不宜用文本文字呈现的且在视频画面中已经通过 PPT、板书等方式显示清楚的，可以不加该行字幕。</w:t>
            </w:r>
          </w:p>
          <w:p>
            <w:pPr>
              <w:pStyle w:val="19"/>
              <w:numPr>
                <w:ilvl w:val="0"/>
                <w:numId w:val="2"/>
              </w:numPr>
              <w:spacing w:line="276" w:lineRule="auto"/>
              <w:ind w:firstLine="440"/>
              <w:jc w:val="left"/>
              <w:rPr>
                <w:rFonts w:hint="eastAsia" w:ascii="宋体" w:hAnsi="宋体" w:eastAsia="宋体" w:cs="宋体"/>
                <w:sz w:val="24"/>
                <w:szCs w:val="24"/>
              </w:rPr>
            </w:pPr>
            <w:r>
              <w:rPr>
                <w:rFonts w:hint="eastAsia" w:ascii="宋体" w:hAnsi="宋体" w:eastAsia="宋体" w:cs="宋体"/>
                <w:sz w:val="24"/>
                <w:szCs w:val="24"/>
              </w:rPr>
              <w:t>格式：mp4格式。</w:t>
            </w:r>
          </w:p>
          <w:p>
            <w:pPr>
              <w:pStyle w:val="2"/>
              <w:ind w:firstLine="482" w:firstLineChars="200"/>
              <w:jc w:val="left"/>
              <w:rPr>
                <w:rFonts w:hint="eastAsia" w:ascii="宋体" w:hAnsi="宋体" w:eastAsia="宋体" w:cs="宋体"/>
                <w:b/>
                <w:bCs/>
                <w:sz w:val="24"/>
                <w:szCs w:val="24"/>
                <w:lang w:val="en-US" w:eastAsia="zh-CN"/>
              </w:rPr>
            </w:pPr>
            <w:r>
              <w:rPr>
                <w:rFonts w:hint="eastAsia" w:ascii="宋体" w:hAnsi="宋体" w:eastAsia="宋体" w:cs="宋体"/>
                <w:b/>
                <w:bCs/>
                <w:sz w:val="24"/>
                <w:szCs w:val="24"/>
                <w:highlight w:val="none"/>
                <w:vertAlign w:val="baseline"/>
                <w:lang w:val="en-US" w:eastAsia="zh-CN"/>
              </w:rPr>
              <w:t>三、为使课程更好的服务于教学，供应商需提供建筑装饰工程技术施工虚拟仿真系统试用，辅助前期的课程学习（50个节点，试用3个月）</w:t>
            </w:r>
          </w:p>
          <w:p>
            <w:pPr>
              <w:pStyle w:val="2"/>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（一）整体功能</w:t>
            </w:r>
          </w:p>
          <w:p>
            <w:pPr>
              <w:pStyle w:val="2"/>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系统包含弹线放样工程施工、水电暖工程施工、顶面工程施工、墙面工程施工、地面工程施工、卫生间工程施工、厨房工程施工、其他工程施工模块。</w:t>
            </w:r>
          </w:p>
          <w:p>
            <w:pPr>
              <w:pStyle w:val="2"/>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（二）技术要求</w:t>
            </w:r>
          </w:p>
          <w:p>
            <w:pPr>
              <w:pStyle w:val="2"/>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1、实训系统以 “建筑装饰设计与施工流程”为依托，以“弹线放样工程施工、水电暖工程施工、顶面工程施工、墙面工程施工、地面工程施工、卫生间工程施工、厨房工程施工、其他工程施工”八大模块为核心技术要点，采用虚拟仿真unity3D技术，构建三维仿真环境场景，模拟八大模块的施工工艺，使学生在模拟交互中掌握施工工艺的技术要点。</w:t>
            </w:r>
          </w:p>
          <w:p>
            <w:pPr>
              <w:pStyle w:val="2"/>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2、系统能够通过PC端键盘与鼠标，实现建筑装饰施工技术的虚拟体验交互。学生在系统中可以选择一个真实的建筑装饰工程实例。</w:t>
            </w:r>
          </w:p>
          <w:p>
            <w:pPr>
              <w:pStyle w:val="2"/>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3、系统可提供施工图纸、施工规范、教学案例等学习内容，学习内容覆盖专业核心课的全部施工流程。</w:t>
            </w:r>
          </w:p>
          <w:p>
            <w:pPr>
              <w:pStyle w:val="2"/>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4、使用者通过键盘和鼠标，随意在场景内自由漫游。</w:t>
            </w:r>
          </w:p>
          <w:p>
            <w:pPr>
              <w:pStyle w:val="2"/>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5、系统软件设有快捷键，执行任务时配合快捷键的使用，使体验感更加的流畅</w:t>
            </w:r>
          </w:p>
          <w:p>
            <w:pPr>
              <w:pStyle w:val="2"/>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6、系统软件支持任务栏操作：</w:t>
            </w:r>
          </w:p>
          <w:p>
            <w:pPr>
              <w:pStyle w:val="2"/>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具备详细的操作说明，指引学生学习和实操；支持大步骤和小步骤的来回跳转，可无限重复学习自己想要学习的施工步骤。</w:t>
            </w:r>
          </w:p>
          <w:p>
            <w:pPr>
              <w:pStyle w:val="2"/>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7、系统软件支持图纸栏选择：</w:t>
            </w:r>
          </w:p>
          <w:p>
            <w:pPr>
              <w:pStyle w:val="2"/>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图纸兰功能分为图纸栏和图集栏，图纸栏为当前任务所需要的图纸，方便查看。图集栏为整个程序里包含的所有图纸，让学生有个整体的把控</w:t>
            </w:r>
          </w:p>
          <w:p>
            <w:pPr>
              <w:pStyle w:val="2"/>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8、互动实训：使用者能在系统内按照施工流程，根据提示框和任务栏里的任务说明进行操作，针对具体工序，通过点击拖拽等操作，在三维室内环境中与各种施工工具和施工耗材进行互动操作，完成实训项目；</w:t>
            </w:r>
          </w:p>
          <w:p>
            <w:pPr>
              <w:pStyle w:val="2"/>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9、系统需包含的实训项目</w:t>
            </w:r>
          </w:p>
          <w:p>
            <w:pPr>
              <w:pStyle w:val="2"/>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▲（1）弹线放样工程施工需包含主控线弹线放样、隐蔽工程弹线放样、关键点弹线放样。</w:t>
            </w:r>
          </w:p>
          <w:p>
            <w:pPr>
              <w:pStyle w:val="2"/>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▲（2）水电暖工程施工需包含水地暖管铺设、墙面线槽开槽、配管穿线安装。</w:t>
            </w:r>
          </w:p>
          <w:p>
            <w:pPr>
              <w:pStyle w:val="2"/>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▲（3）顶面工程施工需包含纸面石膏板平顶装饰、叠级吊顶+空调出风口、反光灯槽+窗帘盒、叠级+石膏线吊顶装饰。</w:t>
            </w:r>
          </w:p>
          <w:p>
            <w:pPr>
              <w:pStyle w:val="2"/>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（4）墙面工程施工需包含乳胶漆饰面装饰、石材干挂饰面装饰、壁纸饰面装饰、壁纸与木饰面衔接装饰。</w:t>
            </w:r>
          </w:p>
          <w:p>
            <w:pPr>
              <w:pStyle w:val="2"/>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▲（5）地面工程施工需包含防水工程施工、瓷砖地面施工、木地板地面施工。</w:t>
            </w:r>
          </w:p>
          <w:p>
            <w:pPr>
              <w:pStyle w:val="2"/>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▲（6）卫生间工程施工需包含墙面瓷砖铺贴施工、地面瓷砖铺贴施工、铝扣板顶面施工、安装工程施工。</w:t>
            </w:r>
          </w:p>
          <w:p>
            <w:pPr>
              <w:pStyle w:val="2"/>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（7）厨房工程施工需包含墙面瓷砖铺贴施工、地面瓷砖铺贴施工、铝扣板顶面施工、安装工程施工。</w:t>
            </w:r>
          </w:p>
          <w:p>
            <w:pPr>
              <w:pStyle w:val="19"/>
              <w:numPr>
                <w:ilvl w:val="0"/>
                <w:numId w:val="0"/>
              </w:numPr>
              <w:spacing w:line="276"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（8）其他工程施工需包含木门窗套安装、固定家具安装、开关面板灯具照明安转、软装成果展示。</w:t>
            </w:r>
          </w:p>
        </w:tc>
      </w:tr>
    </w:tbl>
    <w:p>
      <w:pPr>
        <w:rPr>
          <w:rFonts w:hint="default"/>
          <w:lang w:val="en-US" w:eastAsia="zh-CN"/>
        </w:rPr>
      </w:pPr>
    </w:p>
    <w:p>
      <w:pPr>
        <w:rPr>
          <w:rFonts w:hint="default"/>
          <w:lang w:val="en-US" w:eastAsia="zh-CN"/>
        </w:rPr>
      </w:pPr>
      <w:r>
        <w:rPr>
          <w:rFonts w:hint="eastAsia"/>
          <w:lang w:val="en-US" w:eastAsia="zh-CN"/>
        </w:rPr>
        <w:t>报价公司（公司名称）：                            联系人：     联系电话：</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Arial,Bold">
    <w:altName w:val="Arial"/>
    <w:panose1 w:val="00000000000000000000"/>
    <w:charset w:val="00"/>
    <w:family w:val="swiss"/>
    <w:pitch w:val="default"/>
    <w:sig w:usb0="00000000" w:usb1="00000000" w:usb2="00000000" w:usb3="00000000" w:csb0="00000001" w:csb1="00000000"/>
  </w:font>
  <w:font w:name="PMingLiU">
    <w:panose1 w:val="02020500000000000000"/>
    <w:charset w:val="88"/>
    <w:family w:val="auto"/>
    <w:pitch w:val="default"/>
    <w:sig w:usb0="A00002FF" w:usb1="28CFFCFA" w:usb2="00000016"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7C8420"/>
    <w:multiLevelType w:val="singleLevel"/>
    <w:tmpl w:val="877C8420"/>
    <w:lvl w:ilvl="0" w:tentative="0">
      <w:start w:val="4"/>
      <w:numFmt w:val="decimal"/>
      <w:suff w:val="nothing"/>
      <w:lvlText w:val="（%1）"/>
      <w:lvlJc w:val="left"/>
    </w:lvl>
  </w:abstractNum>
  <w:abstractNum w:abstractNumId="1">
    <w:nsid w:val="C913EEE5"/>
    <w:multiLevelType w:val="singleLevel"/>
    <w:tmpl w:val="C913EEE5"/>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wY2ZiN2NjMTFhYjU2ZDIzMmI0ZGYxNmY3M2M3MTEifQ=="/>
  </w:docVars>
  <w:rsids>
    <w:rsidRoot w:val="00000000"/>
    <w:rsid w:val="02D21DDC"/>
    <w:rsid w:val="079C59AE"/>
    <w:rsid w:val="0C4158E6"/>
    <w:rsid w:val="0D28015E"/>
    <w:rsid w:val="11787A56"/>
    <w:rsid w:val="1431345F"/>
    <w:rsid w:val="161A5AD5"/>
    <w:rsid w:val="17400995"/>
    <w:rsid w:val="1B456F13"/>
    <w:rsid w:val="261078B7"/>
    <w:rsid w:val="28AA0305"/>
    <w:rsid w:val="29423C7B"/>
    <w:rsid w:val="367F2EF3"/>
    <w:rsid w:val="36ED033F"/>
    <w:rsid w:val="3D46184F"/>
    <w:rsid w:val="4A4C2E3F"/>
    <w:rsid w:val="4FC36BDC"/>
    <w:rsid w:val="50E769F7"/>
    <w:rsid w:val="51015584"/>
    <w:rsid w:val="519866AB"/>
    <w:rsid w:val="51C103C5"/>
    <w:rsid w:val="59707F6C"/>
    <w:rsid w:val="5E4E6AAE"/>
    <w:rsid w:val="62A20580"/>
    <w:rsid w:val="68EC49D9"/>
    <w:rsid w:val="706A1AFA"/>
    <w:rsid w:val="723F771E"/>
    <w:rsid w:val="742568F2"/>
    <w:rsid w:val="74567956"/>
    <w:rsid w:val="753D34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keepNext/>
      <w:keepLines/>
      <w:spacing w:before="340" w:beforeLines="0" w:beforeAutospacing="0" w:after="330" w:afterLines="0" w:afterAutospacing="0" w:line="240" w:lineRule="auto"/>
      <w:jc w:val="left"/>
      <w:outlineLvl w:val="0"/>
    </w:pPr>
    <w:rPr>
      <w:rFonts w:eastAsia="宋体" w:asciiTheme="minorAscii" w:hAnsiTheme="minorAscii"/>
      <w:b/>
      <w:kern w:val="44"/>
      <w:sz w:val="32"/>
    </w:rPr>
  </w:style>
  <w:style w:type="paragraph" w:styleId="5">
    <w:name w:val="heading 2"/>
    <w:basedOn w:val="1"/>
    <w:next w:val="1"/>
    <w:semiHidden/>
    <w:unhideWhenUsed/>
    <w:qFormat/>
    <w:uiPriority w:val="0"/>
    <w:pPr>
      <w:keepNext/>
      <w:keepLines/>
      <w:spacing w:before="260" w:beforeLines="0" w:beforeAutospacing="0" w:after="260" w:afterLines="0" w:afterAutospacing="0" w:line="240" w:lineRule="auto"/>
      <w:jc w:val="left"/>
      <w:outlineLvl w:val="1"/>
    </w:pPr>
    <w:rPr>
      <w:rFonts w:ascii="Arial" w:hAnsi="Arial" w:eastAsia="宋体"/>
      <w:b/>
      <w:sz w:val="30"/>
    </w:rPr>
  </w:style>
  <w:style w:type="paragraph" w:styleId="6">
    <w:name w:val="heading 3"/>
    <w:basedOn w:val="1"/>
    <w:next w:val="1"/>
    <w:semiHidden/>
    <w:unhideWhenUsed/>
    <w:qFormat/>
    <w:uiPriority w:val="0"/>
    <w:pPr>
      <w:keepNext/>
      <w:keepLines/>
      <w:spacing w:before="260" w:beforeLines="0" w:beforeAutospacing="0" w:after="260" w:afterLines="0" w:afterAutospacing="0" w:line="240" w:lineRule="auto"/>
      <w:jc w:val="left"/>
      <w:outlineLvl w:val="2"/>
    </w:pPr>
    <w:rPr>
      <w:rFonts w:eastAsia="宋体" w:asciiTheme="minorAscii" w:hAnsiTheme="minorAscii"/>
      <w:b/>
      <w:sz w:val="28"/>
    </w:rPr>
  </w:style>
  <w:style w:type="paragraph" w:styleId="7">
    <w:name w:val="heading 4"/>
    <w:basedOn w:val="1"/>
    <w:next w:val="1"/>
    <w:semiHidden/>
    <w:unhideWhenUsed/>
    <w:qFormat/>
    <w:uiPriority w:val="0"/>
    <w:pPr>
      <w:keepNext/>
      <w:keepLines/>
      <w:spacing w:before="280" w:beforeLines="0" w:beforeAutospacing="0" w:after="290" w:afterLines="0" w:afterAutospacing="0" w:line="240" w:lineRule="auto"/>
      <w:jc w:val="left"/>
      <w:outlineLvl w:val="3"/>
    </w:pPr>
    <w:rPr>
      <w:rFonts w:ascii="Arial" w:hAnsi="Arial" w:eastAsia="宋体"/>
      <w:b/>
      <w:sz w:val="24"/>
    </w:rPr>
  </w:style>
  <w:style w:type="paragraph" w:styleId="8">
    <w:name w:val="heading 5"/>
    <w:basedOn w:val="1"/>
    <w:next w:val="1"/>
    <w:semiHidden/>
    <w:unhideWhenUsed/>
    <w:qFormat/>
    <w:uiPriority w:val="0"/>
    <w:pPr>
      <w:keepNext/>
      <w:keepLines/>
      <w:spacing w:before="280" w:beforeLines="0" w:beforeAutospacing="0" w:after="290" w:afterLines="0" w:afterAutospacing="0" w:line="240" w:lineRule="auto"/>
      <w:outlineLvl w:val="4"/>
    </w:pPr>
    <w:rPr>
      <w:rFonts w:eastAsia="宋体" w:asciiTheme="minorAscii" w:hAnsiTheme="minorAscii"/>
      <w:b/>
      <w:sz w:val="24"/>
    </w:rPr>
  </w:style>
  <w:style w:type="paragraph" w:styleId="9">
    <w:name w:val="heading 6"/>
    <w:basedOn w:val="1"/>
    <w:next w:val="1"/>
    <w:semiHidden/>
    <w:unhideWhenUsed/>
    <w:qFormat/>
    <w:uiPriority w:val="0"/>
    <w:pPr>
      <w:keepNext/>
      <w:keepLines/>
      <w:spacing w:before="240" w:beforeLines="0" w:beforeAutospacing="0" w:after="64" w:afterLines="0" w:afterAutospacing="0" w:line="240" w:lineRule="auto"/>
      <w:outlineLvl w:val="5"/>
    </w:pPr>
    <w:rPr>
      <w:rFonts w:ascii="Arial" w:hAnsi="Arial" w:eastAsia="宋体"/>
      <w:b/>
      <w:sz w:val="24"/>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99"/>
    <w:pPr>
      <w:adjustRightInd w:val="0"/>
      <w:spacing w:after="60" w:line="360" w:lineRule="atLeast"/>
      <w:ind w:left="72" w:leftChars="30" w:right="30" w:rightChars="30"/>
      <w:jc w:val="center"/>
      <w:textAlignment w:val="baseline"/>
    </w:pPr>
    <w:rPr>
      <w:kern w:val="0"/>
      <w:sz w:val="20"/>
      <w:szCs w:val="20"/>
    </w:rPr>
  </w:style>
  <w:style w:type="paragraph" w:styleId="3">
    <w:name w:val="Body Text 2"/>
    <w:basedOn w:val="1"/>
    <w:qFormat/>
    <w:uiPriority w:val="0"/>
    <w:pPr>
      <w:widowControl/>
      <w:spacing w:before="100" w:beforeAutospacing="1" w:after="100" w:afterAutospacing="1"/>
      <w:jc w:val="left"/>
    </w:pPr>
    <w:rPr>
      <w:rFonts w:ascii="宋体" w:hAnsi="宋体" w:cs="宋体"/>
      <w:kern w:val="0"/>
      <w:sz w:val="24"/>
    </w:rPr>
  </w:style>
  <w:style w:type="paragraph" w:styleId="10">
    <w:name w:val="Block Text"/>
    <w:basedOn w:val="1"/>
    <w:next w:val="7"/>
    <w:qFormat/>
    <w:uiPriority w:val="0"/>
    <w:pPr>
      <w:kinsoku w:val="0"/>
      <w:autoSpaceDE w:val="0"/>
      <w:autoSpaceDN w:val="0"/>
      <w:adjustRightInd w:val="0"/>
      <w:snapToGrid w:val="0"/>
      <w:spacing w:line="500" w:lineRule="exact"/>
      <w:ind w:left="391" w:right="246"/>
      <w:jc w:val="left"/>
      <w:textAlignment w:val="baseline"/>
    </w:pPr>
    <w:rPr>
      <w:rFonts w:ascii="仿宋_GB2312" w:hAnsi="Arial" w:eastAsia="仿宋_GB2312" w:cs="Arial"/>
      <w:snapToGrid w:val="0"/>
      <w:color w:val="000000"/>
      <w:kern w:val="0"/>
      <w:sz w:val="24"/>
      <w:szCs w:val="21"/>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文本"/>
    <w:basedOn w:val="1"/>
    <w:qFormat/>
    <w:uiPriority w:val="0"/>
    <w:pPr>
      <w:spacing w:line="360" w:lineRule="auto"/>
      <w:ind w:firstLine="883" w:firstLineChars="200"/>
      <w:jc w:val="left"/>
    </w:pPr>
    <w:rPr>
      <w:rFonts w:eastAsia="宋体" w:cs="Times New Roman" w:asciiTheme="minorAscii" w:hAnsiTheme="minorAscii"/>
      <w:sz w:val="24"/>
    </w:rPr>
  </w:style>
  <w:style w:type="paragraph" w:customStyle="1" w:styleId="15">
    <w:name w:val="表格文本"/>
    <w:basedOn w:val="1"/>
    <w:qFormat/>
    <w:uiPriority w:val="0"/>
    <w:pPr>
      <w:spacing w:line="360" w:lineRule="auto"/>
      <w:jc w:val="left"/>
    </w:pPr>
    <w:rPr>
      <w:rFonts w:eastAsia="宋体" w:cs="Times New Roman" w:asciiTheme="minorAscii" w:hAnsiTheme="minorAscii"/>
      <w:sz w:val="24"/>
      <w:szCs w:val="21"/>
    </w:rPr>
  </w:style>
  <w:style w:type="character" w:customStyle="1" w:styleId="16">
    <w:name w:val="font11"/>
    <w:basedOn w:val="13"/>
    <w:qFormat/>
    <w:uiPriority w:val="0"/>
    <w:rPr>
      <w:rFonts w:hint="eastAsia" w:ascii="宋体" w:hAnsi="宋体" w:eastAsia="宋体" w:cs="宋体"/>
      <w:b/>
      <w:bCs/>
      <w:color w:val="000000"/>
      <w:sz w:val="24"/>
      <w:szCs w:val="24"/>
      <w:u w:val="none"/>
    </w:rPr>
  </w:style>
  <w:style w:type="character" w:customStyle="1" w:styleId="17">
    <w:name w:val="font21"/>
    <w:basedOn w:val="13"/>
    <w:qFormat/>
    <w:uiPriority w:val="0"/>
    <w:rPr>
      <w:rFonts w:hint="eastAsia" w:ascii="宋体" w:hAnsi="宋体" w:eastAsia="宋体" w:cs="宋体"/>
      <w:color w:val="000000"/>
      <w:sz w:val="24"/>
      <w:szCs w:val="24"/>
      <w:u w:val="none"/>
    </w:rPr>
  </w:style>
  <w:style w:type="character" w:customStyle="1" w:styleId="18">
    <w:name w:val="font31"/>
    <w:basedOn w:val="13"/>
    <w:qFormat/>
    <w:uiPriority w:val="0"/>
    <w:rPr>
      <w:rFonts w:hint="eastAsia" w:ascii="宋体" w:hAnsi="宋体" w:eastAsia="宋体" w:cs="宋体"/>
      <w:color w:val="000000"/>
      <w:sz w:val="24"/>
      <w:szCs w:val="24"/>
      <w:u w:val="none"/>
    </w:rPr>
  </w:style>
  <w:style w:type="paragraph" w:customStyle="1" w:styleId="19">
    <w:name w:val="表格文"/>
    <w:basedOn w:val="20"/>
    <w:qFormat/>
    <w:uiPriority w:val="0"/>
    <w:rPr>
      <w:rFonts w:eastAsia="宋体"/>
      <w:sz w:val="21"/>
      <w:lang w:eastAsia="zh-CN"/>
    </w:rPr>
  </w:style>
  <w:style w:type="paragraph" w:customStyle="1" w:styleId="20">
    <w:name w:val="Default"/>
    <w:next w:val="1"/>
    <w:qFormat/>
    <w:uiPriority w:val="0"/>
    <w:pPr>
      <w:widowControl w:val="0"/>
      <w:autoSpaceDE w:val="0"/>
      <w:autoSpaceDN w:val="0"/>
      <w:adjustRightInd w:val="0"/>
    </w:pPr>
    <w:rPr>
      <w:rFonts w:ascii="Arial,Bold" w:hAnsi="Arial,Bold" w:eastAsia="PMingLiU" w:cs="Times New Roman"/>
      <w:lang w:val="en-US" w:eastAsia="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1533</Words>
  <Characters>1623</Characters>
  <Lines>0</Lines>
  <Paragraphs>0</Paragraphs>
  <TotalTime>2</TotalTime>
  <ScaleCrop>false</ScaleCrop>
  <LinksUpToDate>false</LinksUpToDate>
  <CharactersWithSpaces>1644</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2022-03-11T00:33:00Z</dcterms:created>
  <dc:creator>Administrator</dc:creator>
  <cp:lastModifiedBy>唐文显</cp:lastModifiedBy>
  <dcterms:modified xsi:type="dcterms:W3CDTF">2023-11-22T10:52:52Z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55C5AF09EDF54AF8938AAA35A30B02B3_13</vt:lpwstr>
  </property>
</Properties>
</file>