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附件1：</w:t>
      </w:r>
    </w:p>
    <w:p>
      <w:pPr>
        <w:jc w:val="center"/>
        <w:rPr>
          <w:rFonts w:hint="eastAsia" w:eastAsiaTheme="minorEastAsia"/>
          <w:sz w:val="32"/>
          <w:lang w:eastAsia="zh-CN"/>
        </w:rPr>
      </w:pPr>
      <w:r>
        <w:rPr>
          <w:rFonts w:hint="eastAsia"/>
          <w:b/>
          <w:sz w:val="36"/>
          <w:lang w:val="en-US" w:eastAsia="zh-CN"/>
        </w:rPr>
        <w:t>活页式教材出版服务采购</w:t>
      </w:r>
      <w:r>
        <w:rPr>
          <w:rFonts w:hint="eastAsia"/>
          <w:b/>
          <w:sz w:val="36"/>
          <w:lang w:eastAsia="zh-CN"/>
        </w:rPr>
        <w:t>需求</w:t>
      </w:r>
    </w:p>
    <w:tbl>
      <w:tblPr>
        <w:tblStyle w:val="7"/>
        <w:tblW w:w="1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40"/>
        <w:gridCol w:w="3540"/>
        <w:gridCol w:w="765"/>
        <w:gridCol w:w="7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740" w:type="dxa"/>
            <w:vAlign w:val="center"/>
          </w:tcPr>
          <w:p>
            <w:pPr>
              <w:jc w:val="center"/>
              <w:rPr>
                <w:rFonts w:ascii="华文仿宋" w:hAnsi="华文仿宋" w:eastAsia="华文仿宋" w:cs="华文仿宋"/>
                <w:b/>
                <w:bCs/>
                <w:kern w:val="0"/>
                <w:sz w:val="24"/>
                <w:szCs w:val="24"/>
                <w:highlight w:val="none"/>
              </w:rPr>
            </w:pPr>
            <w:r>
              <w:rPr>
                <w:rFonts w:hint="eastAsia" w:ascii="华文仿宋" w:hAnsi="华文仿宋" w:eastAsia="华文仿宋" w:cs="华文仿宋"/>
                <w:b/>
                <w:bCs/>
                <w:kern w:val="0"/>
                <w:sz w:val="24"/>
                <w:szCs w:val="24"/>
                <w:highlight w:val="none"/>
              </w:rPr>
              <w:t>产品名称</w:t>
            </w:r>
          </w:p>
        </w:tc>
        <w:tc>
          <w:tcPr>
            <w:tcW w:w="3540" w:type="dxa"/>
            <w:vAlign w:val="center"/>
          </w:tcPr>
          <w:p>
            <w:pPr>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技术参数</w:t>
            </w:r>
          </w:p>
        </w:tc>
        <w:tc>
          <w:tcPr>
            <w:tcW w:w="765" w:type="dxa"/>
            <w:vAlign w:val="center"/>
          </w:tcPr>
          <w:p>
            <w:pPr>
              <w:widowControl/>
              <w:jc w:val="center"/>
              <w:rPr>
                <w:rFonts w:ascii="华文仿宋" w:hAnsi="华文仿宋" w:eastAsia="华文仿宋" w:cs="华文仿宋"/>
                <w:b/>
                <w:bCs/>
                <w:kern w:val="0"/>
                <w:sz w:val="24"/>
                <w:szCs w:val="24"/>
                <w:highlight w:val="none"/>
              </w:rPr>
            </w:pPr>
            <w:r>
              <w:rPr>
                <w:rFonts w:hint="eastAsia" w:ascii="华文仿宋" w:hAnsi="华文仿宋" w:eastAsia="华文仿宋" w:cs="华文仿宋"/>
                <w:b/>
                <w:bCs/>
                <w:kern w:val="0"/>
                <w:sz w:val="24"/>
                <w:szCs w:val="24"/>
                <w:highlight w:val="none"/>
              </w:rPr>
              <w:t>单位</w:t>
            </w:r>
          </w:p>
        </w:tc>
        <w:tc>
          <w:tcPr>
            <w:tcW w:w="795" w:type="dxa"/>
            <w:vAlign w:val="center"/>
          </w:tcPr>
          <w:p>
            <w:pPr>
              <w:widowControl/>
              <w:jc w:val="center"/>
              <w:rPr>
                <w:rFonts w:ascii="华文仿宋" w:hAnsi="华文仿宋" w:eastAsia="华文仿宋" w:cs="华文仿宋"/>
                <w:b/>
                <w:bCs/>
                <w:kern w:val="0"/>
                <w:sz w:val="24"/>
                <w:szCs w:val="24"/>
                <w:highlight w:val="none"/>
              </w:rPr>
            </w:pPr>
            <w:r>
              <w:rPr>
                <w:rFonts w:hint="eastAsia" w:ascii="华文仿宋" w:hAnsi="华文仿宋" w:eastAsia="华文仿宋" w:cs="华文仿宋"/>
                <w:b/>
                <w:bCs/>
                <w:kern w:val="0"/>
                <w:sz w:val="24"/>
                <w:szCs w:val="24"/>
                <w:highlight w:val="none"/>
              </w:rPr>
              <w:t>数量</w:t>
            </w:r>
          </w:p>
        </w:tc>
        <w:tc>
          <w:tcPr>
            <w:tcW w:w="7410" w:type="dxa"/>
            <w:vAlign w:val="center"/>
          </w:tcPr>
          <w:p>
            <w:pPr>
              <w:widowControl/>
              <w:jc w:val="center"/>
              <w:rPr>
                <w:rFonts w:hint="default" w:ascii="华文仿宋" w:hAnsi="华文仿宋" w:eastAsia="华文仿宋" w:cs="华文仿宋"/>
                <w:b/>
                <w:bCs/>
                <w:kern w:val="0"/>
                <w:sz w:val="24"/>
                <w:szCs w:val="24"/>
                <w:highlight w:val="none"/>
                <w:lang w:val="en-US" w:eastAsia="zh-CN"/>
              </w:rPr>
            </w:pPr>
            <w:r>
              <w:rPr>
                <w:rFonts w:hint="eastAsia" w:ascii="华文仿宋" w:hAnsi="华文仿宋" w:eastAsia="华文仿宋" w:cs="华文仿宋"/>
                <w:b/>
                <w:bCs/>
                <w:kern w:val="0"/>
                <w:sz w:val="24"/>
                <w:szCs w:val="24"/>
                <w:highlight w:val="none"/>
                <w:lang w:val="en-US" w:eastAsia="zh-CN"/>
              </w:rPr>
              <w:t>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1" w:hRule="atLeast"/>
        </w:trPr>
        <w:tc>
          <w:tcPr>
            <w:tcW w:w="650" w:type="dxa"/>
            <w:vMerge w:val="restart"/>
            <w:vAlign w:val="center"/>
          </w:tcPr>
          <w:p>
            <w:pPr>
              <w:jc w:val="center"/>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1</w:t>
            </w:r>
          </w:p>
        </w:tc>
        <w:tc>
          <w:tcPr>
            <w:tcW w:w="1740" w:type="dxa"/>
            <w:vMerge w:val="restart"/>
            <w:vAlign w:val="center"/>
          </w:tcPr>
          <w:p>
            <w:pPr>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变频器技术及应用</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eastAsia="zh-CN"/>
              </w:rPr>
              <w:t>教材</w:t>
            </w:r>
            <w:r>
              <w:rPr>
                <w:rFonts w:hint="eastAsia" w:ascii="宋体" w:hAnsi="宋体" w:eastAsia="宋体" w:cs="Times New Roman"/>
                <w:kern w:val="0"/>
                <w:sz w:val="24"/>
                <w:szCs w:val="24"/>
                <w:highlight w:val="none"/>
              </w:rPr>
              <w:t>出版</w:t>
            </w:r>
          </w:p>
        </w:tc>
        <w:tc>
          <w:tcPr>
            <w:tcW w:w="3540" w:type="dxa"/>
            <w:vMerge w:val="restart"/>
            <w:vAlign w:val="center"/>
          </w:tcPr>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开本：16开，</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出版字数：200千字左右；</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封面：200克铜+覆膜，四色印刷；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内文：60克胶版纸，黑白印刷；</w:t>
            </w:r>
          </w:p>
          <w:p>
            <w:pPr>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装订：</w:t>
            </w:r>
            <w:r>
              <w:rPr>
                <w:rFonts w:hint="eastAsia" w:ascii="Times New Roman" w:hAnsi="Times New Roman" w:eastAsia="宋体" w:cs="Times New Roman"/>
                <w:kern w:val="0"/>
                <w:sz w:val="24"/>
                <w:szCs w:val="24"/>
                <w:highlight w:val="none"/>
                <w:lang w:val="en-US" w:eastAsia="zh-CN"/>
              </w:rPr>
              <w:t>活页式</w:t>
            </w:r>
            <w:r>
              <w:rPr>
                <w:rFonts w:hint="eastAsia" w:ascii="Times New Roman" w:hAnsi="Times New Roman" w:eastAsia="宋体" w:cs="Times New Roman"/>
                <w:kern w:val="0"/>
                <w:sz w:val="24"/>
                <w:szCs w:val="24"/>
                <w:highlight w:val="none"/>
              </w:rPr>
              <w:t>。</w:t>
            </w:r>
          </w:p>
        </w:tc>
        <w:tc>
          <w:tcPr>
            <w:tcW w:w="765" w:type="dxa"/>
            <w:vMerge w:val="restart"/>
            <w:vAlign w:val="center"/>
          </w:tcPr>
          <w:p>
            <w:pPr>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项</w:t>
            </w:r>
          </w:p>
        </w:tc>
        <w:tc>
          <w:tcPr>
            <w:tcW w:w="795" w:type="dxa"/>
            <w:vAlign w:val="center"/>
          </w:tcPr>
          <w:p>
            <w:pPr>
              <w:jc w:val="center"/>
              <w:rPr>
                <w:rFonts w:hint="eastAsia" w:ascii="宋体" w:hAnsi="宋体" w:eastAsia="宋体" w:cs="Times New Roman"/>
                <w:kern w:val="0"/>
                <w:sz w:val="24"/>
                <w:szCs w:val="24"/>
                <w:highlight w:val="yellow"/>
                <w:lang w:val="en-US" w:eastAsia="zh-CN"/>
              </w:rPr>
            </w:pPr>
            <w:r>
              <w:rPr>
                <w:rFonts w:hint="eastAsia" w:ascii="宋体" w:hAnsi="宋体" w:eastAsia="宋体" w:cs="Times New Roman"/>
                <w:kern w:val="0"/>
                <w:sz w:val="24"/>
                <w:szCs w:val="24"/>
                <w:highlight w:val="none"/>
                <w:lang w:val="en-US" w:eastAsia="zh-CN"/>
              </w:rPr>
              <w:t>1</w:t>
            </w:r>
          </w:p>
        </w:tc>
        <w:tc>
          <w:tcPr>
            <w:tcW w:w="741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一、教材出版印刷要求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1、版面字数：教材约200千字左右。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2、开本：16开。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3、内文：采用60g双胶纸，黑白印刷。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4、封面：封面200g铜版纸，覆膜，四色彩色印刷。教材封面设计符合出版要求，设计新颖美观、简洁大方。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5、装订方式：活页式装订。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二、教材印刷装订质量及售后服务要求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1、教材出版必须符合国家出版行业标准《书刊印刷标准CY/T1～3－91，CY/T7.1～7.9－91，CY/T12～17－95》的规定，教材排版版面干净、整洁、美观。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2、供应商按配合完成教材封面内文设计制作、中译英翻译、专业编辑校对、排版、印刷、装订、书刊号申请及管理等服务，并满足以下技术质量和服要求：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（1）教材采用正规国际标准书号。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（2）成品教材的文字差错率在1/10000以下。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（3）封面、扉页、封底设计能恰当反映教材内容，构思合理、格调健康、风格鲜明、文字准确、色彩和谐。版式设计规范、统一，字号字型、序号的使用合理。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（4）印刷、装订质量符合国家出版行业标准。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（5）采购人交稿（电子版）后，如无需退改，供应商应在90个日历日内完成书稿翻译及出版工作。付印清样（封面、扉页、封底、正文）前需经过采购人签字确认、出版社三审签字。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3、售后服务：每套教材赠送样书10本。样书免费配送。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三、报价要求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本次服务报价包含但不限于以下部分：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1、教材的出版管理费（含书刊号）、翻译费、编校费、封面及正文设计费、排版费、印刷装订费及纸张费等完成本项目服务所需的一切费用及税金；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2、应支付给著作者的版权费、稿酬等；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Times New Roman"/>
                <w:kern w:val="0"/>
                <w:sz w:val="24"/>
                <w:szCs w:val="24"/>
                <w:highlight w:val="none"/>
                <w:lang w:val="en-US" w:eastAsia="zh-CN"/>
              </w:rPr>
              <w:t>3、其他如教材样书的包装、运输及售后服务等费用。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供应商自行考虑完成项目所需的材料、设备、人力、物力及配送等产生的费用，成交后，采购人将不予支付成交供应商其他的项目费用，并认为此项目的费用已包括在总报价中。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四、付款条件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项目合同（协议）签订生效后15个日历日内，双方完成项目出版书稿内容确认，供应商提供增值税发票给采购人，采购人一次性支付项目款。</w:t>
            </w:r>
          </w:p>
          <w:p>
            <w:pPr>
              <w:spacing w:line="400" w:lineRule="exact"/>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五、知识产权约定</w:t>
            </w:r>
          </w:p>
          <w:p>
            <w:pPr>
              <w:spacing w:line="400" w:lineRule="exact"/>
              <w:ind w:firstLine="480" w:firstLineChars="200"/>
              <w:jc w:val="left"/>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rPr>
              <w:t>广西水利电力职业技术学院及教材编写中编者享有本教材的著作版权。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650" w:type="dxa"/>
            <w:vMerge w:val="continue"/>
            <w:tcBorders/>
            <w:vAlign w:val="center"/>
          </w:tcPr>
          <w:p>
            <w:pPr>
              <w:jc w:val="center"/>
              <w:rPr>
                <w:rFonts w:hint="eastAsia" w:ascii="仿宋" w:hAnsi="仿宋" w:eastAsia="仿宋" w:cs="仿宋"/>
                <w:bCs/>
                <w:kern w:val="0"/>
                <w:sz w:val="24"/>
                <w:szCs w:val="24"/>
                <w:highlight w:val="none"/>
                <w:lang w:eastAsia="zh-CN"/>
              </w:rPr>
            </w:pPr>
          </w:p>
        </w:tc>
        <w:tc>
          <w:tcPr>
            <w:tcW w:w="1740" w:type="dxa"/>
            <w:vMerge w:val="continue"/>
            <w:tcBorders/>
            <w:vAlign w:val="center"/>
          </w:tcPr>
          <w:p>
            <w:pPr>
              <w:jc w:val="center"/>
              <w:rPr>
                <w:rFonts w:hint="eastAsia" w:ascii="宋体" w:hAnsi="宋体" w:eastAsia="宋体" w:cs="Times New Roman"/>
                <w:kern w:val="0"/>
                <w:sz w:val="24"/>
                <w:szCs w:val="24"/>
                <w:highlight w:val="yellow"/>
              </w:rPr>
            </w:pPr>
          </w:p>
        </w:tc>
        <w:tc>
          <w:tcPr>
            <w:tcW w:w="3540" w:type="dxa"/>
            <w:vMerge w:val="continue"/>
            <w:tcBorders/>
            <w:vAlign w:val="center"/>
          </w:tcPr>
          <w:p>
            <w:pPr>
              <w:rPr>
                <w:rFonts w:hint="eastAsia" w:ascii="Times New Roman" w:hAnsi="Times New Roman" w:eastAsia="宋体" w:cs="Times New Roman"/>
                <w:kern w:val="0"/>
                <w:sz w:val="24"/>
                <w:szCs w:val="24"/>
                <w:highlight w:val="yellow"/>
              </w:rPr>
            </w:pPr>
          </w:p>
        </w:tc>
        <w:tc>
          <w:tcPr>
            <w:tcW w:w="765" w:type="dxa"/>
            <w:vMerge w:val="continue"/>
            <w:tcBorders/>
            <w:vAlign w:val="center"/>
          </w:tcPr>
          <w:p>
            <w:pPr>
              <w:jc w:val="center"/>
              <w:rPr>
                <w:rFonts w:hint="eastAsia" w:ascii="宋体" w:hAnsi="宋体" w:eastAsia="宋体" w:cs="Times New Roman"/>
                <w:kern w:val="0"/>
                <w:sz w:val="24"/>
                <w:szCs w:val="24"/>
                <w:highlight w:val="yellow"/>
              </w:rPr>
            </w:pPr>
          </w:p>
        </w:tc>
        <w:tc>
          <w:tcPr>
            <w:tcW w:w="795" w:type="dxa"/>
            <w:tcBorders/>
            <w:vAlign w:val="center"/>
          </w:tcPr>
          <w:p>
            <w:pPr>
              <w:jc w:val="center"/>
              <w:rPr>
                <w:rFonts w:ascii="宋体" w:hAnsi="宋体" w:eastAsia="宋体" w:cs="Times New Roman"/>
                <w:kern w:val="0"/>
                <w:sz w:val="24"/>
                <w:szCs w:val="24"/>
                <w:highlight w:val="none"/>
              </w:rPr>
            </w:pPr>
          </w:p>
        </w:tc>
        <w:tc>
          <w:tcPr>
            <w:tcW w:w="7410" w:type="dxa"/>
            <w:vMerge w:val="continue"/>
            <w:vAlign w:val="center"/>
          </w:tcPr>
          <w:p>
            <w:pPr>
              <w:pStyle w:val="3"/>
              <w:keepNext w:val="0"/>
              <w:keepLines w:val="0"/>
              <w:pageBreakBefore w:val="0"/>
              <w:widowControl w:val="0"/>
              <w:kinsoku/>
              <w:wordWrap/>
              <w:overflowPunct/>
              <w:topLinePunct w:val="0"/>
              <w:autoSpaceDE/>
              <w:autoSpaceDN/>
              <w:bidi w:val="0"/>
              <w:spacing w:line="360" w:lineRule="exact"/>
              <w:ind w:left="0" w:leftChars="0" w:firstLine="480" w:firstLineChars="200"/>
              <w:textAlignment w:val="auto"/>
              <w:rPr>
                <w:rFonts w:hint="eastAsia" w:ascii="仿宋_GB2312" w:eastAsia="仿宋_GB2312" w:hAnsiTheme="minorHAnsi" w:cstheme="minorBidi"/>
                <w:kern w:val="0"/>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sectPr>
          <w:pgSz w:w="16838" w:h="11906" w:orient="landscape"/>
          <w:pgMar w:top="1017" w:right="851" w:bottom="1304" w:left="1135"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p>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2640" w:firstLineChars="600"/>
        <w:jc w:val="both"/>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eastAsia="方正小标宋简体"/>
          <w:b/>
          <w:bCs/>
          <w:lang w:eastAsia="zh-CN"/>
        </w:rPr>
      </w:pPr>
      <w:r>
        <w:rPr>
          <w:rFonts w:hint="eastAsia" w:ascii="宋体" w:hAnsi="宋体" w:cs="仿宋_GB2312"/>
          <w:sz w:val="24"/>
          <w:lang w:eastAsia="zh-CN"/>
        </w:rPr>
        <w:t>项目名称：</w:t>
      </w:r>
      <w:r>
        <w:rPr>
          <w:rFonts w:hint="eastAsia" w:ascii="宋体" w:hAnsi="宋体" w:cs="仿宋_GB2312" w:eastAsiaTheme="minorEastAsia"/>
          <w:b/>
          <w:bCs/>
          <w:snapToGrid w:val="0"/>
          <w:kern w:val="0"/>
          <w:sz w:val="24"/>
          <w:lang w:val="en-US" w:eastAsia="zh-CN"/>
        </w:rPr>
        <w:t>活页式</w:t>
      </w:r>
      <w:r>
        <w:rPr>
          <w:rFonts w:hint="eastAsia" w:ascii="宋体" w:hAnsi="宋体" w:cs="仿宋_GB2312" w:eastAsiaTheme="minorEastAsia"/>
          <w:b/>
          <w:bCs/>
          <w:snapToGrid w:val="0"/>
          <w:kern w:val="0"/>
          <w:sz w:val="24"/>
        </w:rPr>
        <w:t>教材出版服务</w:t>
      </w:r>
    </w:p>
    <w:tbl>
      <w:tblPr>
        <w:tblStyle w:val="6"/>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hint="eastAsia" w:ascii="宋体" w:hAnsi="宋体" w:cs="仿宋_GB2312"/>
                <w:sz w:val="24"/>
                <w:lang w:eastAsia="zh-CN"/>
              </w:rPr>
              <w:t>货物</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lang w:eastAsia="zh-CN"/>
              </w:rPr>
              <w:t>小</w:t>
            </w:r>
            <w:r>
              <w:rPr>
                <w:rFonts w:hint="eastAsia" w:ascii="宋体" w:hAnsi="宋体" w:cs="仿宋_GB2312"/>
                <w:sz w:val="24"/>
              </w:rPr>
              <w:t>计</w:t>
            </w:r>
            <w:r>
              <w:rPr>
                <w:rFonts w:hint="eastAsia" w:ascii="宋体" w:hAnsi="宋体" w:cs="仿宋_GB2312"/>
                <w:sz w:val="24"/>
                <w:lang w:eastAsia="zh-CN"/>
              </w:rPr>
              <w:t>（元）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lang w:val="en-US" w:eastAsia="zh-CN"/>
              </w:rPr>
            </w:pPr>
            <w:r>
              <w:rPr>
                <w:rFonts w:hint="eastAsia" w:ascii="宋体" w:hAnsi="宋体" w:cs="仿宋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w:t>
            </w:r>
            <w:r>
              <w:rPr>
                <w:rFonts w:hint="eastAsia" w:ascii="宋体" w:hAnsi="宋体" w:cs="仿宋_GB2312"/>
                <w:sz w:val="24"/>
                <w:u w:val="none"/>
              </w:rPr>
              <w:t>人民币</w:t>
            </w:r>
            <w:r>
              <w:rPr>
                <w:rFonts w:hint="eastAsia" w:ascii="宋体" w:hAnsi="宋体" w:cs="仿宋_GB2312"/>
                <w:sz w:val="24"/>
              </w:rPr>
              <w:t>（大写）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1680" w:firstLineChars="7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3840" w:firstLineChars="16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5760" w:firstLineChars="2400"/>
        <w:rPr>
          <w:rFonts w:hint="eastAsia" w:ascii="宋体" w:hAnsi="宋体" w:cs="仿宋_GB2312"/>
          <w:sz w:val="24"/>
        </w:rPr>
      </w:pPr>
      <w:r>
        <w:rPr>
          <w:rFonts w:hint="eastAsia" w:ascii="宋体" w:hAnsi="宋体" w:cs="仿宋_GB2312"/>
          <w:sz w:val="24"/>
        </w:rPr>
        <w:t>日期：   年   月   日</w:t>
      </w:r>
    </w:p>
    <w:p>
      <w:pPr>
        <w:snapToGrid w:val="0"/>
        <w:spacing w:before="50" w:after="50" w:line="360" w:lineRule="auto"/>
        <w:ind w:right="-817" w:rightChars="-389" w:firstLine="4080" w:firstLineChars="1700"/>
        <w:rPr>
          <w:rFonts w:hint="eastAsia" w:ascii="宋体" w:hAnsi="宋体" w:cs="仿宋_GB2312"/>
          <w:sz w:val="24"/>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Cs/>
          <w:color w:val="000000"/>
          <w:sz w:val="28"/>
          <w:szCs w:val="28"/>
          <w:lang w:val="en-US" w:eastAsia="zh-CN"/>
        </w:rPr>
      </w:pPr>
      <w:r>
        <w:rPr>
          <w:rFonts w:hint="eastAsia" w:ascii="仿宋" w:hAnsi="仿宋" w:eastAsia="仿宋" w:cs="仿宋"/>
          <w:b w:val="0"/>
          <w:bCs/>
          <w:sz w:val="28"/>
          <w:szCs w:val="28"/>
          <w:lang w:val="en-US" w:eastAsia="zh-CN"/>
        </w:rPr>
        <w:t>附件3</w:t>
      </w:r>
      <w:r>
        <w:rPr>
          <w:rFonts w:hint="eastAsia" w:ascii="仿宋" w:hAnsi="仿宋" w:eastAsia="仿宋" w:cs="仿宋"/>
          <w:bCs/>
          <w:color w:val="000000"/>
          <w:sz w:val="28"/>
          <w:szCs w:val="28"/>
          <w:lang w:val="en-US" w:eastAsia="zh-CN"/>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拟投入本项目的技术人员一览</w:t>
      </w:r>
      <w:r>
        <w:rPr>
          <w:rFonts w:hint="eastAsia" w:ascii="方正小标宋简体" w:hAnsi="方正小标宋简体" w:eastAsia="方正小标宋简体" w:cs="方正小标宋简体"/>
          <w:bCs/>
          <w:color w:val="000000"/>
          <w:sz w:val="32"/>
          <w:szCs w:val="32"/>
        </w:rPr>
        <w:t>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cs="仿宋_GB2312" w:eastAsiaTheme="minorEastAsia"/>
          <w:b/>
          <w:bCs/>
          <w:snapToGrid w:val="0"/>
          <w:kern w:val="0"/>
          <w:sz w:val="24"/>
          <w:lang w:val="en-US" w:eastAsia="zh-CN"/>
        </w:rPr>
        <w:t>《变频器技术及应用》活页式</w:t>
      </w:r>
      <w:r>
        <w:rPr>
          <w:rFonts w:hint="eastAsia" w:ascii="宋体" w:hAnsi="宋体" w:cs="仿宋_GB2312" w:eastAsiaTheme="minorEastAsia"/>
          <w:b/>
          <w:bCs/>
          <w:snapToGrid w:val="0"/>
          <w:kern w:val="0"/>
          <w:sz w:val="24"/>
        </w:rPr>
        <w:t>教材出版服务</w:t>
      </w:r>
      <w:r>
        <w:rPr>
          <w:rFonts w:hint="eastAsia" w:ascii="宋体" w:hAnsi="宋体" w:eastAsia="宋体" w:cs="宋体"/>
          <w:color w:val="000000"/>
          <w:sz w:val="24"/>
          <w:szCs w:val="24"/>
        </w:rPr>
        <w:t xml:space="preserve">  </w:t>
      </w:r>
    </w:p>
    <w:tbl>
      <w:tblPr>
        <w:tblStyle w:val="6"/>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专业技术、职业技能等资格证书</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证书编号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在本项目中的职责</w:t>
            </w:r>
          </w:p>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bl>
    <w:p>
      <w:pPr>
        <w:snapToGrid w:val="0"/>
        <w:spacing w:before="50" w:after="50" w:line="440" w:lineRule="exact"/>
        <w:ind w:right="-817" w:rightChars="-389"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50" w:after="50" w:line="440" w:lineRule="exact"/>
        <w:ind w:right="-817" w:rightChars="-389" w:firstLine="5040" w:firstLineChars="2100"/>
        <w:rPr>
          <w:rFonts w:hint="eastAsia" w:ascii="宋体" w:hAnsi="宋体" w:eastAsia="宋体" w:cs="宋体"/>
          <w:color w:val="000000"/>
          <w:sz w:val="24"/>
          <w:szCs w:val="24"/>
        </w:rPr>
      </w:pPr>
    </w:p>
    <w:p>
      <w:pPr>
        <w:snapToGrid w:val="0"/>
        <w:spacing w:before="50" w:after="50" w:line="440" w:lineRule="exact"/>
        <w:ind w:right="-817" w:rightChars="-389" w:firstLine="5040" w:firstLineChars="2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供应商（公章）：      </w:t>
      </w:r>
    </w:p>
    <w:p>
      <w:pPr>
        <w:snapToGrid w:val="0"/>
        <w:spacing w:before="50" w:after="50" w:line="440" w:lineRule="exact"/>
        <w:ind w:right="-817" w:rightChars="-389" w:firstLine="5760" w:firstLineChars="2400"/>
        <w:rPr>
          <w:rFonts w:hint="eastAsia" w:ascii="宋体" w:hAnsi="宋体" w:eastAsia="宋体" w:cs="宋体"/>
          <w:b/>
          <w:color w:val="000000"/>
          <w:sz w:val="24"/>
          <w:szCs w:val="24"/>
        </w:rPr>
      </w:pPr>
      <w:bookmarkStart w:id="0" w:name="_GoBack"/>
      <w:bookmarkEnd w:id="0"/>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pPr>
        <w:snapToGrid w:val="0"/>
        <w:spacing w:before="50" w:after="50" w:line="360" w:lineRule="auto"/>
        <w:ind w:right="-817" w:rightChars="-389" w:firstLine="4080" w:firstLineChars="1700"/>
        <w:rPr>
          <w:rFonts w:hint="eastAsia" w:ascii="宋体" w:hAnsi="宋体" w:cs="仿宋_GB2312" w:eastAsiaTheme="minorEastAsia"/>
          <w:sz w:val="24"/>
          <w:lang w:val="en-US" w:eastAsia="zh-CN"/>
        </w:rPr>
      </w:pPr>
      <w:r>
        <w:rPr>
          <w:rFonts w:hint="eastAsia" w:ascii="宋体" w:hAnsi="宋体" w:cs="仿宋_GB2312"/>
          <w:sz w:val="24"/>
          <w:lang w:val="en-US" w:eastAsia="zh-CN"/>
        </w:rPr>
        <w:t xml:space="preserve"> </w:t>
      </w:r>
    </w:p>
    <w:p>
      <w:pPr>
        <w:pStyle w:val="3"/>
        <w:rPr>
          <w:rFonts w:hint="eastAsia"/>
          <w:lang w:val="en-US" w:eastAsia="zh-CN"/>
        </w:rPr>
      </w:pPr>
    </w:p>
    <w:p/>
    <w:sectPr>
      <w:pgSz w:w="11906" w:h="16838"/>
      <w:pgMar w:top="850" w:right="130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MGU5NzlmMjg4ZDQ3NDc3OGE0MjQ1YmI4OTY4ODMifQ=="/>
  </w:docVars>
  <w:rsids>
    <w:rsidRoot w:val="39062322"/>
    <w:rsid w:val="05946774"/>
    <w:rsid w:val="063E365C"/>
    <w:rsid w:val="093B7C7D"/>
    <w:rsid w:val="131C0CEA"/>
    <w:rsid w:val="15E62AFE"/>
    <w:rsid w:val="23DE63B5"/>
    <w:rsid w:val="39062322"/>
    <w:rsid w:val="3CA7601D"/>
    <w:rsid w:val="3DE204C1"/>
    <w:rsid w:val="46475E01"/>
    <w:rsid w:val="47F432D5"/>
    <w:rsid w:val="4D124A19"/>
    <w:rsid w:val="5A266A21"/>
    <w:rsid w:val="62B36DF6"/>
    <w:rsid w:val="67915D0A"/>
    <w:rsid w:val="6D61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1223</Words>
  <Characters>1269</Characters>
  <Lines>0</Lines>
  <Paragraphs>0</Paragraphs>
  <TotalTime>3</TotalTime>
  <ScaleCrop>false</ScaleCrop>
  <LinksUpToDate>false</LinksUpToDate>
  <CharactersWithSpaces>1393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2022-05-11T12:26:00Z</dcterms:created>
  <dc:creator>[资产-收发秘书]李泳</dc:creator>
  <cp:lastModifiedBy>贝贝</cp:lastModifiedBy>
  <dcterms:modified xsi:type="dcterms:W3CDTF">2022-08-22T03:48:06Z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69FFB55D95D14EF0A84A7F4B2F70B91B</vt:lpwstr>
  </property>
</Properties>
</file>