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0"/>
        <w:jc w:val="both"/>
        <w:rPr>
          <w:rFonts w:hint="eastAsia"/>
          <w:b/>
          <w:sz w:val="30"/>
          <w:lang w:val="en-US" w:eastAsia="zh-CN"/>
        </w:rPr>
      </w:pPr>
      <w:r>
        <w:rPr>
          <w:rFonts w:hint="eastAsia"/>
          <w:b/>
          <w:sz w:val="30"/>
          <w:lang w:eastAsia="zh-CN"/>
        </w:rPr>
        <w:t>附件</w:t>
      </w:r>
      <w:r>
        <w:rPr>
          <w:rFonts w:hint="eastAsia"/>
          <w:b/>
          <w:sz w:val="30"/>
          <w:lang w:val="en-US" w:eastAsia="zh-CN"/>
        </w:rPr>
        <w:t>：</w:t>
      </w:r>
    </w:p>
    <w:p>
      <w:pPr>
        <w:pStyle w:val="3"/>
        <w:spacing w:before="240"/>
        <w:jc w:val="center"/>
        <w:rPr>
          <w:b/>
          <w:sz w:val="30"/>
        </w:rPr>
      </w:pPr>
      <w:r>
        <w:rPr>
          <w:rFonts w:hint="eastAsia"/>
          <w:b/>
          <w:sz w:val="30"/>
        </w:rPr>
        <w:t>技术规格响应表</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rPr>
          <w:b/>
          <w:sz w:val="30"/>
        </w:rPr>
      </w:pPr>
      <w:bookmarkStart w:id="0" w:name="_GoBack"/>
      <w:bookmarkEnd w:id="0"/>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3A8E"/>
    <w:rsid w:val="0B17308F"/>
    <w:rsid w:val="131C0CEA"/>
    <w:rsid w:val="36440CF6"/>
    <w:rsid w:val="37B93908"/>
    <w:rsid w:val="3B9012C9"/>
    <w:rsid w:val="46475E01"/>
    <w:rsid w:val="62B36DF6"/>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Administrator</cp:lastModifiedBy>
  <dcterms:modified xsi:type="dcterms:W3CDTF">2022-06-18T13:39:51Z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6D960E141D8E4585B673094B8848977B</vt:lpwstr>
  </property>
</Properties>
</file>