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50" w:lineRule="exact"/>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采购配套软件采购清单</w:t>
      </w:r>
      <w:bookmarkStart w:id="0" w:name="_GoBack"/>
      <w:bookmarkEnd w:id="0"/>
    </w:p>
    <w:p>
      <w:pPr>
        <w:rPr>
          <w:color w:val="000000" w:themeColor="text1"/>
          <w14:textFill>
            <w14:solidFill>
              <w14:schemeClr w14:val="tx1"/>
            </w14:solidFill>
          </w14:textFill>
        </w:rPr>
      </w:pPr>
    </w:p>
    <w:tbl>
      <w:tblPr>
        <w:tblStyle w:val="12"/>
        <w:tblW w:w="46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36"/>
        <w:gridCol w:w="577"/>
        <w:gridCol w:w="4024"/>
        <w:gridCol w:w="724"/>
        <w:gridCol w:w="848"/>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pPr>
              <w:jc w:val="center"/>
              <w:rPr>
                <w:vertAlign w:val="baseline"/>
              </w:rPr>
            </w:pPr>
            <w:r>
              <w:rPr>
                <w:rFonts w:hint="eastAsia"/>
                <w:szCs w:val="21"/>
              </w:rPr>
              <w:t>序号</w:t>
            </w:r>
          </w:p>
        </w:tc>
        <w:tc>
          <w:tcPr>
            <w:tcW w:w="276" w:type="pct"/>
            <w:vAlign w:val="center"/>
          </w:tcPr>
          <w:p>
            <w:pPr>
              <w:jc w:val="center"/>
              <w:rPr>
                <w:vertAlign w:val="baseline"/>
              </w:rPr>
            </w:pPr>
            <w:r>
              <w:rPr>
                <w:rFonts w:hint="eastAsia"/>
                <w:szCs w:val="21"/>
              </w:rPr>
              <w:t>品目名称</w:t>
            </w:r>
          </w:p>
        </w:tc>
        <w:tc>
          <w:tcPr>
            <w:tcW w:w="366" w:type="pct"/>
            <w:vAlign w:val="center"/>
          </w:tcPr>
          <w:p>
            <w:pPr>
              <w:jc w:val="center"/>
              <w:rPr>
                <w:rFonts w:hint="eastAsia" w:eastAsiaTheme="minorEastAsia"/>
                <w:szCs w:val="21"/>
                <w:lang w:val="en-US" w:eastAsia="zh-CN"/>
              </w:rPr>
            </w:pPr>
            <w:r>
              <w:rPr>
                <w:rFonts w:hint="eastAsia"/>
                <w:szCs w:val="21"/>
                <w:lang w:val="en-US" w:eastAsia="zh-CN"/>
              </w:rPr>
              <w:t>型号</w:t>
            </w:r>
          </w:p>
        </w:tc>
        <w:tc>
          <w:tcPr>
            <w:tcW w:w="2550" w:type="pct"/>
            <w:vAlign w:val="center"/>
          </w:tcPr>
          <w:p>
            <w:pPr>
              <w:jc w:val="center"/>
              <w:rPr>
                <w:vertAlign w:val="baseline"/>
              </w:rPr>
            </w:pPr>
            <w:r>
              <w:rPr>
                <w:rFonts w:hint="eastAsia"/>
                <w:szCs w:val="21"/>
              </w:rPr>
              <w:t>技术参数</w:t>
            </w:r>
          </w:p>
        </w:tc>
        <w:tc>
          <w:tcPr>
            <w:tcW w:w="459" w:type="pct"/>
            <w:vAlign w:val="center"/>
          </w:tcPr>
          <w:p>
            <w:pPr>
              <w:jc w:val="center"/>
              <w:rPr>
                <w:rFonts w:hint="default" w:eastAsiaTheme="minorEastAsia"/>
                <w:vertAlign w:val="baseline"/>
                <w:lang w:val="en-US" w:eastAsia="zh-CN"/>
              </w:rPr>
            </w:pPr>
            <w:r>
              <w:rPr>
                <w:rFonts w:hint="eastAsia"/>
                <w:szCs w:val="21"/>
              </w:rPr>
              <w:t>数量</w:t>
            </w:r>
            <w:r>
              <w:rPr>
                <w:rFonts w:hint="eastAsia"/>
                <w:szCs w:val="21"/>
                <w:lang w:val="en-US" w:eastAsia="zh-CN"/>
              </w:rPr>
              <w:t>/单位</w:t>
            </w:r>
          </w:p>
        </w:tc>
        <w:tc>
          <w:tcPr>
            <w:tcW w:w="535" w:type="pct"/>
            <w:vAlign w:val="center"/>
          </w:tcPr>
          <w:p>
            <w:pPr>
              <w:jc w:val="center"/>
              <w:rPr>
                <w:rFonts w:hint="default" w:eastAsiaTheme="minorEastAsia"/>
                <w:szCs w:val="21"/>
                <w:lang w:val="en-US" w:eastAsia="zh-CN"/>
              </w:rPr>
            </w:pPr>
            <w:r>
              <w:rPr>
                <w:rFonts w:hint="eastAsia"/>
                <w:szCs w:val="21"/>
                <w:lang w:val="en-US" w:eastAsia="zh-CN"/>
              </w:rPr>
              <w:t>单价（元）</w:t>
            </w:r>
          </w:p>
        </w:tc>
        <w:tc>
          <w:tcPr>
            <w:tcW w:w="542" w:type="pct"/>
            <w:vAlign w:val="center"/>
          </w:tcPr>
          <w:p>
            <w:pPr>
              <w:jc w:val="center"/>
              <w:rPr>
                <w:rFonts w:hint="default" w:eastAsiaTheme="minorEastAsia"/>
                <w:szCs w:val="21"/>
                <w:lang w:val="en-US" w:eastAsia="zh-CN"/>
              </w:rPr>
            </w:pPr>
            <w:r>
              <w:rPr>
                <w:rFonts w:hint="eastAsia"/>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pPr>
              <w:widowControl/>
              <w:jc w:val="left"/>
              <w:rPr>
                <w:rFonts w:hint="default"/>
                <w:vertAlign w:val="baseline"/>
                <w:lang w:val="en-US" w:eastAsia="zh-CN"/>
              </w:rPr>
            </w:pPr>
            <w:r>
              <w:rPr>
                <w:rFonts w:hint="eastAsia"/>
                <w:vertAlign w:val="baseline"/>
                <w:lang w:val="en-US" w:eastAsia="zh-CN"/>
              </w:rPr>
              <w:t>1</w:t>
            </w:r>
          </w:p>
        </w:tc>
        <w:tc>
          <w:tcPr>
            <w:tcW w:w="276" w:type="pct"/>
            <w:vAlign w:val="center"/>
          </w:tcPr>
          <w:p>
            <w:pPr>
              <w:widowControl/>
              <w:jc w:val="left"/>
              <w:rPr>
                <w:rFonts w:hint="default" w:cs="仿宋" w:asciiTheme="minorEastAsia" w:hAnsiTheme="minorEastAsia"/>
                <w:sz w:val="22"/>
                <w:szCs w:val="24"/>
                <w:lang w:val="en-US" w:eastAsia="zh-CN"/>
              </w:rPr>
            </w:pPr>
            <w:r>
              <w:rPr>
                <w:rFonts w:hint="eastAsia" w:cs="仿宋" w:asciiTheme="minorEastAsia" w:hAnsiTheme="minorEastAsia"/>
                <w:sz w:val="22"/>
                <w:szCs w:val="24"/>
                <w:lang w:val="en-US" w:eastAsia="zh-CN"/>
              </w:rPr>
              <w:t>配套软件</w:t>
            </w:r>
          </w:p>
        </w:tc>
        <w:tc>
          <w:tcPr>
            <w:tcW w:w="366" w:type="pct"/>
            <w:vAlign w:val="center"/>
          </w:tcPr>
          <w:p>
            <w:pPr>
              <w:widowControl/>
              <w:jc w:val="left"/>
              <w:rPr>
                <w:rFonts w:hint="default" w:cs="仿宋" w:asciiTheme="minorEastAsia" w:hAnsiTheme="minorEastAsia"/>
                <w:sz w:val="22"/>
                <w:szCs w:val="24"/>
                <w:lang w:val="en-US" w:eastAsia="zh-CN"/>
              </w:rPr>
            </w:pPr>
            <w:r>
              <w:rPr>
                <w:rFonts w:hint="eastAsia" w:cs="仿宋" w:asciiTheme="minorEastAsia" w:hAnsiTheme="minorEastAsia"/>
                <w:sz w:val="22"/>
                <w:szCs w:val="24"/>
                <w:lang w:val="en-US" w:eastAsia="zh-CN"/>
              </w:rPr>
              <w:t>定制</w:t>
            </w:r>
          </w:p>
        </w:tc>
        <w:tc>
          <w:tcPr>
            <w:tcW w:w="2550" w:type="pct"/>
            <w:vAlign w:val="center"/>
          </w:tcPr>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kern w:val="0"/>
                <w:sz w:val="21"/>
                <w:szCs w:val="21"/>
              </w:rPr>
              <w:t>工业物联网平台</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网关注册管理：系统后台支持管理网关，包括品牌、型号的管理，管理员可将网关在系统内进行注册并分配使用权限给指定租户。</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系统首页：系统支持在首页预览系统内网关、点位、产品、设备等数字资产，网关在地图中做分布标记，支持展示网关实时在线率及近期系统接入数据量走势。</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项目管理：系统支持按项目管理接入设备，项目支持不同的行业类型,项目下包含设备数量直观体现到项目数据卡。</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网关管理：系统支持用户按后台预先分配关系进行网关激活接入，网关下可创建多个虚拟设备及不同类型数据点位，支持管理数据点位的读写权限，支持查看网关实时通讯报文，支持预览点位实时数据，支持对可写类型的点位进行数据下发操作。</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产品管理：系统支持按产品管理接入的设备，对于同一款产品，只需要在系统中维护一次即可按产品批量进行设备的创建和管理。</w:t>
            </w:r>
          </w:p>
          <w:p>
            <w:pPr>
              <w:numPr>
                <w:ilvl w:val="0"/>
                <w:numId w:val="1"/>
              </w:numPr>
              <w:spacing w:line="360" w:lineRule="auto"/>
              <w:ind w:firstLineChars="0"/>
              <w:jc w:val="both"/>
              <w:rPr>
                <w:rFonts w:hint="eastAsia" w:ascii="宋体" w:hAnsi="宋体" w:eastAsia="宋体" w:cs="宋体"/>
                <w:sz w:val="21"/>
                <w:szCs w:val="21"/>
              </w:rPr>
            </w:pPr>
            <w:r>
              <w:rPr>
                <w:rFonts w:hint="eastAsia" w:ascii="宋体" w:hAnsi="宋体" w:eastAsia="宋体" w:cs="宋体"/>
                <w:sz w:val="21"/>
                <w:szCs w:val="21"/>
              </w:rPr>
              <w:t>设备管理：系统支持按产品实例化设备，且设备动态继承产品全部属性，设备属性支持自定义关联到网关的数据点位，支持实时查看设备数字画像。</w:t>
            </w:r>
          </w:p>
          <w:p>
            <w:pPr>
              <w:numPr>
                <w:ilvl w:val="0"/>
                <w:numId w:val="1"/>
              </w:numPr>
              <w:spacing w:line="360" w:lineRule="auto"/>
              <w:ind w:left="462" w:hanging="485" w:hangingChars="231"/>
              <w:jc w:val="both"/>
              <w:rPr>
                <w:rFonts w:hint="eastAsia" w:ascii="宋体" w:hAnsi="宋体" w:eastAsia="宋体" w:cs="宋体"/>
                <w:sz w:val="21"/>
                <w:szCs w:val="21"/>
              </w:rPr>
            </w:pPr>
            <w:r>
              <w:rPr>
                <w:rFonts w:hint="eastAsia" w:ascii="宋体" w:hAnsi="宋体" w:eastAsia="宋体" w:cs="宋体"/>
                <w:sz w:val="21"/>
                <w:szCs w:val="21"/>
              </w:rPr>
              <w:t>数据备份：系统支持按租户进行系统配置数据存档备份管理和按备份进行配置数据一键恢复，以支持阶段性的教学实训。</w:t>
            </w:r>
          </w:p>
          <w:p>
            <w:pPr>
              <w:numPr>
                <w:ilvl w:val="0"/>
                <w:numId w:val="1"/>
              </w:numPr>
              <w:spacing w:line="360" w:lineRule="auto"/>
              <w:ind w:left="462" w:hanging="485" w:hangingChars="231"/>
              <w:jc w:val="both"/>
              <w:rPr>
                <w:rFonts w:hint="eastAsia" w:ascii="宋体" w:hAnsi="宋体" w:eastAsia="宋体" w:cs="宋体"/>
                <w:sz w:val="21"/>
                <w:szCs w:val="21"/>
              </w:rPr>
            </w:pPr>
            <w:r>
              <w:rPr>
                <w:rFonts w:hint="eastAsia" w:ascii="宋体" w:hAnsi="宋体" w:eastAsia="宋体" w:cs="宋体"/>
                <w:sz w:val="21"/>
                <w:szCs w:val="21"/>
              </w:rPr>
              <w:t>可视化数据大屏：系统提供可视化大屏配置工具，内置柱状图、折线图、饼图、散点图等统计图表组件，支持文本类、图片类、视频类、表格类等多种数据组件，内置丰富的组件案例，支持静态数据、API接口数据、SQL数据、实时数据等多种数据源可配置，支持用户组态化配置可视化数据大屏。</w:t>
            </w:r>
          </w:p>
          <w:p>
            <w:pPr>
              <w:spacing w:line="360" w:lineRule="auto"/>
              <w:ind w:firstLine="0" w:firstLineChars="0"/>
              <w:jc w:val="both"/>
              <w:rPr>
                <w:rFonts w:hint="eastAsia" w:ascii="宋体" w:hAnsi="宋体" w:eastAsia="宋体" w:cs="宋体"/>
                <w:b/>
                <w:bCs/>
                <w:kern w:val="0"/>
                <w:sz w:val="21"/>
                <w:szCs w:val="21"/>
              </w:rPr>
            </w:pPr>
            <w:r>
              <w:rPr>
                <w:rFonts w:hint="eastAsia" w:ascii="宋体" w:hAnsi="宋体" w:eastAsia="宋体" w:cs="宋体"/>
                <w:b/>
                <w:bCs/>
                <w:sz w:val="21"/>
                <w:szCs w:val="21"/>
              </w:rPr>
              <w:t>工厂虚拟调试仿真软件×2：</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1）正版软件，可提供持续的中文技术支持服务，软件可使用所有功能模块，界面没有试用版字样；</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2）具备快速搭建智能制造产线、智能装配产线以及物流产线的仿真模拟，进行工艺规划与工厂规划，逻辑与程序验证，实现生产流程高效、可靠。</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3）支持根据生产工艺要求，结合零件点线面特征进行工作路径自动规划，并与其他自动化设备进行仿真验证，自动生成机器人程序，支持ABB、KUKA、Fanuc等90个以上品牌机器人。</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4）可基于CAD数据生成机器人加工轨迹，简化轨迹生成过程，提高精度，可利用实体模型、曲面或曲线直接生成机器人加工轨迹；</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5）可为人和AGV小车，生成导航路径；</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6）仿真与调试支持VR沉浸式体验。在VR环境中进行漫游，还可查看整条产线的仿真流程；</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7）提供≥200种的智能制造工作单元和设备资源，支持智能产线中各种主流设备的仿真与虚拟调试，包括PLC、机器人、传感器、变位机、导轨等，可实现规划与设计车间布局，自由调整。</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8）可以直接从云端设备库中选择机器人、物流等设备模块进行仿真调试，选择过程中支持搜索、筛选和排序，并推荐相似参数的模块设备，组成与实际设备一致的3D数字模型，自定义模块属性，生成与实际设备一致的业务路径；</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9）支持智能制造数字孪生功能，利用基于事件且由信号驱动的仿真技术实现了生产系统的虚拟调试，虚拟调试可用在完全虚拟环节中进行，也可是实物控制设备和虚拟工作设备互联实现半实物调试。</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10）支持多种三维格式模型的自由导入，软件可通过导入不同格式的三维模型进行自动化系统或制造车间的规划、仿真。</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11）通过仿真机器人可执行代码，模拟机器人在软件环境中的运动状态，并支持循环指令（如For）控制机机器人重复运动；</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12）具备专业的后置代码编辑器。后置代码编辑器可以显示代码的行号，数字、注释和指令等关键字以不同颜色显示；函数在编辑过程中有参数提示；函数和注释可折叠隐藏；</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13）支持场景设备的自由定义，用户可通过设计的三维模型以及技术参数自由定义机器人、工具、零件、传感器等设备。</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14）支持定义零件生成器，通过时间和信号的控制方式模拟物料重复生成和消失的过程；</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15）支持贴图功能，可通过贴图代替或简化离线编程软件虚拟场景中复杂的模型搭建，最大限度减小模型的大小；可极大加快绘图区的刷新帧速率，使绘图区操作响应更加灵敏。</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16）软件支持绘图区的全屏显示，在程序设计或仿真过程中，可通过按F11快捷键突出显示设计环境的绘图区内的模型；</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17）支持和多种品牌的PLC设备进行信号的联调，包括西门子、三菱、欧姆龙等；</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18）支持信号调试面板的显示，软件在虚拟仿真过程中，可通过信号调试面板实时观测相关信号的状态；</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19）支持虚拟PLC的调试，用户可通过自行编写Python和SCL虚拟PLC程序，实现软件中的设备和虚拟PLC之间的信号调试；</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20）利用云服务平台，实时把控前端软件考试活动进度；考试结果通过云端智能算法自动进行打分评判；考试全程远程、自动化运行；</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21）实现了软件技术手册、问题交流的在线化，相关在线资源的实时化更新；</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22）提供多种智能制造和智能装配产线的时序仿真、虚拟调试的学习案例，帮助用户快速掌握软件功能的使用；</w:t>
            </w:r>
          </w:p>
          <w:p>
            <w:pPr>
              <w:spacing w:line="360" w:lineRule="auto"/>
              <w:ind w:firstLine="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23）连接真实PLC设备，支持多种品牌网关的连接，包含组态王、炫思及MQTT网关；</w:t>
            </w:r>
          </w:p>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kern w:val="0"/>
                <w:sz w:val="21"/>
                <w:szCs w:val="21"/>
              </w:rPr>
              <w:t>24）支持PLC编程软件中变量表的导入，包含robport、csv以及xlsx等格式；</w:t>
            </w:r>
          </w:p>
        </w:tc>
        <w:tc>
          <w:tcPr>
            <w:tcW w:w="459" w:type="pct"/>
            <w:vAlign w:val="center"/>
          </w:tcPr>
          <w:p>
            <w:pPr>
              <w:widowControl/>
              <w:jc w:val="left"/>
              <w:rPr>
                <w:rFonts w:hint="default"/>
                <w:vertAlign w:val="baseline"/>
                <w:lang w:val="en-US" w:eastAsia="zh-CN"/>
              </w:rPr>
            </w:pPr>
            <w:r>
              <w:rPr>
                <w:rFonts w:hint="eastAsia"/>
                <w:vertAlign w:val="baseline"/>
                <w:lang w:val="en-US" w:eastAsia="zh-CN"/>
              </w:rPr>
              <w:t>1套</w:t>
            </w:r>
          </w:p>
        </w:tc>
        <w:tc>
          <w:tcPr>
            <w:tcW w:w="535" w:type="pct"/>
            <w:vAlign w:val="center"/>
          </w:tcPr>
          <w:p>
            <w:pPr>
              <w:widowControl/>
              <w:jc w:val="left"/>
              <w:rPr>
                <w:rFonts w:hint="default"/>
                <w:vertAlign w:val="baseline"/>
                <w:lang w:val="en-US" w:eastAsia="zh-CN"/>
              </w:rPr>
            </w:pPr>
          </w:p>
        </w:tc>
        <w:tc>
          <w:tcPr>
            <w:tcW w:w="542" w:type="pct"/>
            <w:vAlign w:val="center"/>
          </w:tcPr>
          <w:p>
            <w:pPr>
              <w:widowControl/>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7" w:type="pct"/>
            <w:gridSpan w:val="6"/>
            <w:vAlign w:val="center"/>
          </w:tcPr>
          <w:p>
            <w:pPr>
              <w:widowControl/>
              <w:jc w:val="left"/>
              <w:rPr>
                <w:rFonts w:hint="eastAsia"/>
                <w:vertAlign w:val="baseline"/>
                <w:lang w:val="en-US" w:eastAsia="zh-CN"/>
              </w:rPr>
            </w:pPr>
          </w:p>
        </w:tc>
        <w:tc>
          <w:tcPr>
            <w:tcW w:w="542" w:type="pct"/>
            <w:vAlign w:val="center"/>
          </w:tcPr>
          <w:p>
            <w:pPr>
              <w:widowControl/>
              <w:jc w:val="left"/>
              <w:rPr>
                <w:rFonts w:hint="default"/>
                <w:vertAlign w:val="baseline"/>
                <w:lang w:val="en-US" w:eastAsia="zh-CN"/>
              </w:rPr>
            </w:pPr>
          </w:p>
        </w:tc>
      </w:tr>
    </w:tbl>
    <w:p>
      <w:pPr>
        <w:pStyle w:val="2"/>
        <w:rPr>
          <w:rFonts w:hint="eastAsia" w:ascii="宋体" w:hAnsi="宋体" w:cs="宋体"/>
          <w:sz w:val="32"/>
          <w:szCs w:val="32"/>
          <w:lang w:val="en-US" w:eastAsia="zh-CN"/>
        </w:rPr>
      </w:pPr>
    </w:p>
    <w:p>
      <w:pPr>
        <w:rPr>
          <w:rFonts w:hint="eastAsia"/>
          <w:lang w:val="en-US" w:eastAsia="zh-CN"/>
        </w:rPr>
      </w:pPr>
      <w:r>
        <w:rPr>
          <w:rFonts w:hint="eastAsia"/>
          <w:lang w:val="en-US" w:eastAsia="zh-CN"/>
        </w:rPr>
        <w:t>报价公司（公司名称）：</w:t>
      </w:r>
    </w:p>
    <w:p>
      <w:pPr>
        <w:pStyle w:val="2"/>
        <w:rPr>
          <w:rFonts w:hint="eastAsia"/>
          <w:lang w:val="en-US" w:eastAsia="zh-CN"/>
        </w:rPr>
      </w:pPr>
    </w:p>
    <w:p>
      <w:pPr>
        <w:rPr>
          <w:rFonts w:hint="eastAsia"/>
          <w:lang w:val="en-US" w:eastAsia="zh-CN"/>
        </w:rPr>
      </w:pPr>
      <w:r>
        <w:rPr>
          <w:rFonts w:hint="eastAsia"/>
          <w:lang w:val="en-US" w:eastAsia="zh-CN"/>
        </w:rPr>
        <w:t>联系人：</w:t>
      </w:r>
    </w:p>
    <w:p>
      <w:pPr>
        <w:pStyle w:val="2"/>
        <w:rPr>
          <w:rFonts w:hint="eastAsia"/>
          <w:lang w:val="en-US" w:eastAsia="zh-CN"/>
        </w:rPr>
      </w:pPr>
    </w:p>
    <w:p>
      <w:pPr>
        <w:rPr>
          <w:rFonts w:hint="eastAsia"/>
          <w:lang w:val="en-US" w:eastAsia="zh-CN"/>
        </w:rPr>
      </w:pPr>
      <w:r>
        <w:rPr>
          <w:rFonts w:hint="eastAsia"/>
          <w:lang w:val="en-US" w:eastAsia="zh-CN"/>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92FB"/>
    <w:multiLevelType w:val="singleLevel"/>
    <w:tmpl w:val="AFEE92F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457449FD"/>
    <w:rsid w:val="000F573A"/>
    <w:rsid w:val="001A71BA"/>
    <w:rsid w:val="002B4539"/>
    <w:rsid w:val="003F0537"/>
    <w:rsid w:val="005B3936"/>
    <w:rsid w:val="008F1B81"/>
    <w:rsid w:val="009703BF"/>
    <w:rsid w:val="00C47645"/>
    <w:rsid w:val="00F46B40"/>
    <w:rsid w:val="00FE251C"/>
    <w:rsid w:val="0229541F"/>
    <w:rsid w:val="05E157DA"/>
    <w:rsid w:val="08071BDA"/>
    <w:rsid w:val="0849538F"/>
    <w:rsid w:val="159016EF"/>
    <w:rsid w:val="1B2B55D1"/>
    <w:rsid w:val="1C8D4D71"/>
    <w:rsid w:val="2A577A18"/>
    <w:rsid w:val="2C075449"/>
    <w:rsid w:val="2FBA5F25"/>
    <w:rsid w:val="317A04DD"/>
    <w:rsid w:val="3339258F"/>
    <w:rsid w:val="38F62DD7"/>
    <w:rsid w:val="3AF174A8"/>
    <w:rsid w:val="3B2D225A"/>
    <w:rsid w:val="3CA8763D"/>
    <w:rsid w:val="3CFB0E0A"/>
    <w:rsid w:val="3D6E1C16"/>
    <w:rsid w:val="3E201B64"/>
    <w:rsid w:val="457449FD"/>
    <w:rsid w:val="50344B74"/>
    <w:rsid w:val="51FA0C62"/>
    <w:rsid w:val="59B13248"/>
    <w:rsid w:val="5F391678"/>
    <w:rsid w:val="652E1F72"/>
    <w:rsid w:val="65401246"/>
    <w:rsid w:val="75BF6666"/>
    <w:rsid w:val="7AD8246C"/>
    <w:rsid w:val="7BE4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unhideWhenUsed/>
    <w:qFormat/>
    <w:uiPriority w:val="99"/>
    <w:pPr>
      <w:ind w:firstLine="420"/>
    </w:pPr>
    <w:rPr>
      <w:szCs w:val="20"/>
    </w:rPr>
  </w:style>
  <w:style w:type="paragraph" w:styleId="5">
    <w:name w:val="Body Text"/>
    <w:basedOn w:val="1"/>
    <w:next w:val="6"/>
    <w:qFormat/>
    <w:uiPriority w:val="0"/>
    <w:pPr>
      <w:spacing w:line="380" w:lineRule="exact"/>
    </w:pPr>
    <w:rPr>
      <w:rFonts w:ascii="Times New Roman" w:hAnsi="Times New Roman" w:eastAsia="宋体" w:cs="Times New Roman"/>
      <w:sz w:val="24"/>
    </w:rPr>
  </w:style>
  <w:style w:type="paragraph" w:styleId="6">
    <w:name w:val="Body Text First Indent 2"/>
    <w:basedOn w:val="5"/>
    <w:next w:val="7"/>
    <w:qFormat/>
    <w:uiPriority w:val="0"/>
    <w:pPr>
      <w:spacing w:after="120"/>
      <w:ind w:left="420" w:leftChars="200" w:firstLine="420" w:firstLineChars="200"/>
    </w:pPr>
    <w:rPr>
      <w:sz w:val="21"/>
      <w:szCs w:val="21"/>
    </w:rPr>
  </w:style>
  <w:style w:type="paragraph" w:styleId="7">
    <w:name w:val="Body Text First Indent"/>
    <w:basedOn w:val="5"/>
    <w:next w:val="1"/>
    <w:qFormat/>
    <w:uiPriority w:val="0"/>
    <w:pPr>
      <w:adjustRightInd w:val="0"/>
      <w:spacing w:after="60" w:line="360" w:lineRule="atLeast"/>
      <w:ind w:left="72" w:leftChars="30" w:right="30" w:rightChars="30" w:firstLine="420"/>
      <w:jc w:val="center"/>
      <w:textAlignment w:val="baseline"/>
    </w:pPr>
    <w:rPr>
      <w:rFonts w:eastAsia="楷体_GB2312"/>
      <w:kern w:val="0"/>
      <w:sz w:val="32"/>
    </w:rPr>
  </w:style>
  <w:style w:type="paragraph" w:styleId="8">
    <w:name w:val="footer"/>
    <w:basedOn w:val="1"/>
    <w:next w:val="1"/>
    <w:qFormat/>
    <w:uiPriority w:val="0"/>
    <w:pPr>
      <w:tabs>
        <w:tab w:val="center" w:pos="4153"/>
        <w:tab w:val="right" w:pos="8306"/>
      </w:tabs>
      <w:snapToGrid w:val="0"/>
      <w:jc w:val="left"/>
    </w:pPr>
    <w:rPr>
      <w:kern w:val="0"/>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paragraph" w:customStyle="1" w:styleId="15">
    <w:name w:val="表 靠左"/>
    <w:basedOn w:val="16"/>
    <w:qFormat/>
    <w:uiPriority w:val="0"/>
    <w:pPr>
      <w:jc w:val="left"/>
    </w:pPr>
    <w:rPr>
      <w:rFonts w:ascii="宋体" w:hAnsi="宋体" w:eastAsia="宋体"/>
    </w:rPr>
  </w:style>
  <w:style w:type="paragraph" w:customStyle="1" w:styleId="16">
    <w:name w:val="表"/>
    <w:basedOn w:val="1"/>
    <w:next w:val="1"/>
    <w:qFormat/>
    <w:uiPriority w:val="0"/>
    <w:pPr>
      <w:spacing w:line="240" w:lineRule="auto"/>
      <w:ind w:firstLine="0" w:firstLineChars="0"/>
      <w:jc w:val="center"/>
    </w:pPr>
  </w:style>
  <w:style w:type="paragraph"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2087</Words>
  <Characters>2197</Characters>
  <Lines>38</Lines>
  <Paragraphs>10</Paragraphs>
  <TotalTime>3</TotalTime>
  <ScaleCrop>false</ScaleCrop>
  <LinksUpToDate>false</LinksUpToDate>
  <CharactersWithSpaces>2235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2023-02-20T02:28:00Z</dcterms:created>
  <dc:creator>wps大大大象</dc:creator>
  <cp:lastModifiedBy>唐文显</cp:lastModifiedBy>
  <cp:lastPrinted>2023-11-23T11:52:00Z</cp:lastPrinted>
  <dcterms:modified xsi:type="dcterms:W3CDTF">2023-12-09T02:43:26Z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BA4356823D984B9AA5F85FA554251C45</vt:lpwstr>
  </property>
</Properties>
</file>